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51C0" w14:textId="1A70CB3B" w:rsidR="007466FB" w:rsidRPr="008A5952" w:rsidRDefault="007466FB" w:rsidP="007466FB">
      <w:pPr>
        <w:pStyle w:val="Header"/>
        <w:jc w:val="both"/>
        <w:rPr>
          <w:rFonts w:ascii="Garamond" w:hAnsi="Garamond" w:cs="Oriya MN"/>
          <w:bCs/>
          <w:color w:val="00240C"/>
          <w:sz w:val="36"/>
          <w:szCs w:val="36"/>
        </w:rPr>
      </w:pPr>
      <w:r w:rsidRPr="008A5952">
        <w:rPr>
          <w:rFonts w:ascii="Garamond" w:hAnsi="Garamond" w:cs="Oriya MN"/>
          <w:bCs/>
          <w:color w:val="00240C"/>
          <w:sz w:val="36"/>
          <w:szCs w:val="36"/>
        </w:rPr>
        <w:t>Appropriate Policy Document</w:t>
      </w:r>
    </w:p>
    <w:p w14:paraId="5975E220" w14:textId="77777777" w:rsidR="008A5952" w:rsidRPr="008A5952" w:rsidRDefault="008A5952" w:rsidP="007466FB">
      <w:pPr>
        <w:pStyle w:val="Header"/>
        <w:jc w:val="both"/>
        <w:rPr>
          <w:rFonts w:ascii="Oriya MN" w:hAnsi="Oriya MN" w:cs="Oriya MN"/>
          <w:b/>
        </w:rPr>
      </w:pPr>
    </w:p>
    <w:p w14:paraId="6E5542F4" w14:textId="77777777" w:rsidR="007466FB" w:rsidRPr="00114B22" w:rsidRDefault="007466FB" w:rsidP="007466FB">
      <w:pPr>
        <w:pStyle w:val="Header"/>
        <w:jc w:val="both"/>
        <w:rPr>
          <w:rFonts w:ascii="Oriya MN" w:hAnsi="Oriya MN" w:cs="Oriya MN"/>
          <w:b/>
          <w:color w:val="00240C"/>
          <w:sz w:val="28"/>
        </w:rPr>
      </w:pPr>
      <w:r w:rsidRPr="00114B22">
        <w:rPr>
          <w:rFonts w:ascii="Oriya MN" w:hAnsi="Oriya MN" w:cs="Oriya MN"/>
          <w:b/>
          <w:color w:val="00240C"/>
          <w:sz w:val="28"/>
        </w:rPr>
        <w:t>Data Protection Act 2018, Schedule 1 Part 2 Paragraph (18)</w:t>
      </w:r>
    </w:p>
    <w:p w14:paraId="57F66E5E" w14:textId="77777777" w:rsidR="007466FB" w:rsidRPr="00114B22" w:rsidRDefault="007466FB" w:rsidP="007466FB">
      <w:pPr>
        <w:tabs>
          <w:tab w:val="left" w:pos="1175"/>
        </w:tabs>
        <w:ind w:left="360" w:hanging="360"/>
        <w:jc w:val="both"/>
        <w:rPr>
          <w:rFonts w:ascii="Oriya MN" w:hAnsi="Oriya MN" w:cs="Oriya MN"/>
          <w:b/>
          <w:bCs/>
          <w:color w:val="00240C"/>
        </w:rPr>
      </w:pPr>
    </w:p>
    <w:p w14:paraId="23F5035D" w14:textId="77777777" w:rsidR="007466FB" w:rsidRPr="00114B22" w:rsidRDefault="007466FB" w:rsidP="007466FB">
      <w:pPr>
        <w:tabs>
          <w:tab w:val="left" w:pos="1175"/>
        </w:tabs>
        <w:ind w:left="360" w:hanging="360"/>
        <w:jc w:val="both"/>
        <w:rPr>
          <w:rFonts w:ascii="Oriya MN" w:hAnsi="Oriya MN" w:cs="Oriya MN"/>
          <w:b/>
          <w:bCs/>
          <w:color w:val="00240C"/>
        </w:rPr>
      </w:pPr>
      <w:r w:rsidRPr="00114B22">
        <w:rPr>
          <w:rFonts w:ascii="Oriya MN" w:hAnsi="Oriya MN" w:cs="Oriya MN"/>
          <w:b/>
          <w:bCs/>
          <w:color w:val="00240C"/>
        </w:rPr>
        <w:t>Introduction</w:t>
      </w:r>
    </w:p>
    <w:p w14:paraId="098EB9E4" w14:textId="77777777" w:rsidR="007466FB" w:rsidRPr="00114B22" w:rsidRDefault="007466FB" w:rsidP="007466FB">
      <w:pPr>
        <w:tabs>
          <w:tab w:val="left" w:pos="1175"/>
        </w:tabs>
        <w:spacing w:after="0" w:line="240" w:lineRule="auto"/>
        <w:contextualSpacing/>
        <w:jc w:val="both"/>
        <w:rPr>
          <w:rFonts w:ascii="Oriya MN" w:hAnsi="Oriya MN" w:cs="Oriya MN"/>
          <w:color w:val="00240C"/>
        </w:rPr>
      </w:pPr>
      <w:r w:rsidRPr="00114B22">
        <w:rPr>
          <w:rFonts w:ascii="Oriya MN" w:hAnsi="Oriya MN" w:cs="Oriya MN"/>
          <w:color w:val="00240C"/>
        </w:rPr>
        <w:t>As your therapist I will always aim to work collaboratively with you.  As I have explained in my therapy agreement, the content of the session is confidential between us although I will discuss our work with my supervisor but will not reveal your name.  In extreme circumstances where I believed there was a significant risk to you (</w:t>
      </w:r>
      <w:proofErr w:type="gramStart"/>
      <w:r w:rsidRPr="00114B22">
        <w:rPr>
          <w:rFonts w:ascii="Oriya MN" w:hAnsi="Oriya MN" w:cs="Oriya MN"/>
          <w:color w:val="00240C"/>
        </w:rPr>
        <w:t>e.g.</w:t>
      </w:r>
      <w:proofErr w:type="gramEnd"/>
      <w:r w:rsidRPr="00114B22">
        <w:rPr>
          <w:rFonts w:ascii="Oriya MN" w:hAnsi="Oriya MN" w:cs="Oriya MN"/>
          <w:color w:val="00240C"/>
        </w:rPr>
        <w:t xml:space="preserve"> suicide) or to someone else (e.g. child protection) I may have to contact other professionals (e.g. your GP) without your consent, but I will always try to inform your first if I needed to do this.  This document provides you with information about the legal context under the GDPR for the processing of your personal information in these circumstances. </w:t>
      </w:r>
    </w:p>
    <w:p w14:paraId="437E0EA9" w14:textId="77777777" w:rsidR="007466FB" w:rsidRPr="00114B22" w:rsidRDefault="007466FB" w:rsidP="007466FB">
      <w:pPr>
        <w:tabs>
          <w:tab w:val="left" w:pos="1175"/>
        </w:tabs>
        <w:spacing w:after="0" w:line="240" w:lineRule="auto"/>
        <w:contextualSpacing/>
        <w:jc w:val="both"/>
        <w:rPr>
          <w:rFonts w:ascii="Oriya MN" w:hAnsi="Oriya MN" w:cs="Oriya MN"/>
          <w:color w:val="00240C"/>
        </w:rPr>
      </w:pPr>
    </w:p>
    <w:p w14:paraId="56053106" w14:textId="77777777" w:rsidR="007466FB" w:rsidRPr="00114B22" w:rsidRDefault="007466FB" w:rsidP="007466FB">
      <w:pPr>
        <w:pStyle w:val="ListParagraph"/>
        <w:numPr>
          <w:ilvl w:val="0"/>
          <w:numId w:val="14"/>
        </w:numPr>
        <w:tabs>
          <w:tab w:val="left" w:pos="1175"/>
        </w:tabs>
        <w:ind w:left="360"/>
        <w:jc w:val="both"/>
        <w:rPr>
          <w:rFonts w:ascii="Oriya MN" w:hAnsi="Oriya MN" w:cs="Oriya MN"/>
          <w:b/>
          <w:bCs/>
          <w:color w:val="00240C"/>
        </w:rPr>
      </w:pPr>
      <w:r w:rsidRPr="00114B22">
        <w:rPr>
          <w:rFonts w:ascii="Oriya MN" w:hAnsi="Oriya MN" w:cs="Oriya MN"/>
          <w:b/>
          <w:bCs/>
          <w:color w:val="00240C"/>
        </w:rPr>
        <w:t>Definitions</w:t>
      </w:r>
    </w:p>
    <w:p w14:paraId="2036A5E6" w14:textId="77777777" w:rsidR="007466FB" w:rsidRPr="00114B22" w:rsidRDefault="007466FB" w:rsidP="007466FB">
      <w:pPr>
        <w:tabs>
          <w:tab w:val="left" w:pos="1175"/>
        </w:tabs>
        <w:jc w:val="both"/>
        <w:rPr>
          <w:rFonts w:ascii="Oriya MN" w:hAnsi="Oriya MN" w:cs="Oriya MN"/>
          <w:color w:val="00240C"/>
        </w:rPr>
      </w:pPr>
      <w:r w:rsidRPr="00114B22">
        <w:rPr>
          <w:rFonts w:ascii="Oriya MN" w:hAnsi="Oriya MN" w:cs="Oriya MN"/>
          <w:b/>
          <w:bCs/>
          <w:color w:val="00240C"/>
        </w:rPr>
        <w:t xml:space="preserve">“Normal Data” </w:t>
      </w:r>
      <w:r w:rsidRPr="00114B22">
        <w:rPr>
          <w:rFonts w:ascii="Oriya MN" w:hAnsi="Oriya MN" w:cs="Oriya MN"/>
          <w:color w:val="00240C"/>
        </w:rPr>
        <w:t xml:space="preserve">Also referred to as ‘Personal Data’ means any information relating to an identified or identifiable natural person (‘Data Subject’). By reference to an identifier such as name, a telephone number, home address and date of birth. </w:t>
      </w:r>
    </w:p>
    <w:p w14:paraId="6B871F8D" w14:textId="77777777" w:rsidR="007466FB" w:rsidRPr="00114B22" w:rsidRDefault="007466FB" w:rsidP="007466FB">
      <w:pPr>
        <w:tabs>
          <w:tab w:val="left" w:pos="1175"/>
        </w:tabs>
        <w:jc w:val="both"/>
        <w:rPr>
          <w:rFonts w:ascii="Oriya MN" w:hAnsi="Oriya MN" w:cs="Oriya MN"/>
          <w:color w:val="00240C"/>
        </w:rPr>
      </w:pPr>
      <w:r w:rsidRPr="00114B22">
        <w:rPr>
          <w:rFonts w:ascii="Oriya MN" w:hAnsi="Oriya MN" w:cs="Oriya MN"/>
          <w:b/>
          <w:bCs/>
          <w:color w:val="00240C"/>
        </w:rPr>
        <w:t xml:space="preserve">“Special Category Data (SCD)(SC)” </w:t>
      </w:r>
      <w:r w:rsidRPr="00114B22">
        <w:rPr>
          <w:rFonts w:ascii="Oriya MN" w:hAnsi="Oriya MN" w:cs="Oriya MN"/>
          <w:color w:val="00240C"/>
        </w:rPr>
        <w:t xml:space="preserve">is any information revealing racial or ethnic origin, political opinions, religious or philosophical beliefs or trade-union membership, and the processing of genetic data, biometric data for the purpose of uniquely identifying a natural person, data concerning health, sex life or sexual orientation. </w:t>
      </w:r>
    </w:p>
    <w:p w14:paraId="39D24A80" w14:textId="77777777" w:rsidR="007466FB" w:rsidRPr="00114B22" w:rsidRDefault="007466FB" w:rsidP="007466FB">
      <w:pPr>
        <w:tabs>
          <w:tab w:val="left" w:pos="1175"/>
        </w:tabs>
        <w:jc w:val="both"/>
        <w:rPr>
          <w:rFonts w:ascii="Oriya MN" w:hAnsi="Oriya MN" w:cs="Oriya MN"/>
          <w:color w:val="00240C"/>
        </w:rPr>
      </w:pPr>
      <w:r w:rsidRPr="00114B22">
        <w:rPr>
          <w:rFonts w:ascii="Oriya MN" w:hAnsi="Oriya MN" w:cs="Oriya MN"/>
          <w:b/>
          <w:bCs/>
          <w:color w:val="00240C"/>
        </w:rPr>
        <w:t xml:space="preserve">“Criminal Offence (CO)” </w:t>
      </w:r>
      <w:r w:rsidRPr="00114B22">
        <w:rPr>
          <w:rFonts w:ascii="Oriya MN" w:hAnsi="Oriya MN" w:cs="Oriya MN"/>
          <w:color w:val="00240C"/>
        </w:rPr>
        <w:t xml:space="preserve">personal data relating to criminal convictions and </w:t>
      </w:r>
      <w:proofErr w:type="gramStart"/>
      <w:r w:rsidRPr="00114B22">
        <w:rPr>
          <w:rFonts w:ascii="Oriya MN" w:hAnsi="Oriya MN" w:cs="Oriya MN"/>
          <w:color w:val="00240C"/>
        </w:rPr>
        <w:t>offences</w:t>
      </w:r>
      <w:proofErr w:type="gramEnd"/>
      <w:r w:rsidRPr="00114B22">
        <w:rPr>
          <w:rFonts w:ascii="Oriya MN" w:hAnsi="Oriya MN" w:cs="Oriya MN"/>
          <w:color w:val="00240C"/>
        </w:rPr>
        <w:t xml:space="preserve"> or related security measures based on Article 6(1) shall be carried out only under the control of official authority or when there is an exception listed under the GDPR.</w:t>
      </w:r>
    </w:p>
    <w:p w14:paraId="5380E817" w14:textId="77777777" w:rsidR="007466FB" w:rsidRPr="00114B22" w:rsidRDefault="007466FB" w:rsidP="007466FB">
      <w:pPr>
        <w:tabs>
          <w:tab w:val="left" w:pos="1175"/>
        </w:tabs>
        <w:jc w:val="both"/>
        <w:rPr>
          <w:rFonts w:ascii="Oriya MN" w:hAnsi="Oriya MN" w:cs="Oriya MN"/>
          <w:color w:val="00240C"/>
        </w:rPr>
      </w:pPr>
      <w:r w:rsidRPr="00114B22">
        <w:rPr>
          <w:rFonts w:ascii="Oriya MN" w:hAnsi="Oriya MN" w:cs="Oriya MN"/>
          <w:b/>
          <w:bCs/>
          <w:color w:val="00240C"/>
        </w:rPr>
        <w:t xml:space="preserve">“Processing” </w:t>
      </w:r>
      <w:r w:rsidRPr="00114B22">
        <w:rPr>
          <w:rFonts w:ascii="Oriya MN" w:hAnsi="Oriya MN" w:cs="Oriya MN"/>
          <w:color w:val="00240C"/>
        </w:rPr>
        <w:t xml:space="preserve">any operation or set of operations which is performed on personal data or on sets of personal data, </w:t>
      </w:r>
      <w:proofErr w:type="gramStart"/>
      <w:r w:rsidRPr="00114B22">
        <w:rPr>
          <w:rFonts w:ascii="Oriya MN" w:hAnsi="Oriya MN" w:cs="Oriya MN"/>
          <w:color w:val="00240C"/>
        </w:rPr>
        <w:t>whether or not</w:t>
      </w:r>
      <w:proofErr w:type="gramEnd"/>
      <w:r w:rsidRPr="00114B22">
        <w:rPr>
          <w:rFonts w:ascii="Oriya MN" w:hAnsi="Oriya MN" w:cs="Oriya MN"/>
          <w:color w:val="00240C"/>
        </w:rPr>
        <w:t xml:space="preserve"> by automated means, such as collection, recording, organisation, structuring, storage, adaptation or alteration, retrieval, consultation, use, disclosure by transmission, dissemination or otherwise making available.</w:t>
      </w:r>
    </w:p>
    <w:p w14:paraId="1354A129" w14:textId="77777777" w:rsidR="007466FB" w:rsidRPr="00114B22" w:rsidRDefault="007466FB" w:rsidP="007466FB">
      <w:pPr>
        <w:tabs>
          <w:tab w:val="left" w:pos="1175"/>
        </w:tabs>
        <w:jc w:val="both"/>
        <w:rPr>
          <w:rFonts w:ascii="Oriya MN" w:hAnsi="Oriya MN" w:cs="Oriya MN"/>
          <w:color w:val="00240C"/>
        </w:rPr>
      </w:pPr>
      <w:r w:rsidRPr="00114B22">
        <w:rPr>
          <w:rFonts w:ascii="Oriya MN" w:hAnsi="Oriya MN" w:cs="Oriya MN"/>
          <w:b/>
          <w:bCs/>
          <w:color w:val="00240C"/>
        </w:rPr>
        <w:t xml:space="preserve">“Controller” </w:t>
      </w:r>
      <w:r w:rsidRPr="00114B22">
        <w:rPr>
          <w:rFonts w:ascii="Oriya MN" w:hAnsi="Oriya MN" w:cs="Oriya MN"/>
          <w:color w:val="00240C"/>
        </w:rPr>
        <w:t xml:space="preserve">is the natural or legal person, public authority, </w:t>
      </w:r>
      <w:proofErr w:type="gramStart"/>
      <w:r w:rsidRPr="00114B22">
        <w:rPr>
          <w:rFonts w:ascii="Oriya MN" w:hAnsi="Oriya MN" w:cs="Oriya MN"/>
          <w:color w:val="00240C"/>
        </w:rPr>
        <w:t>agency</w:t>
      </w:r>
      <w:proofErr w:type="gramEnd"/>
      <w:r w:rsidRPr="00114B22">
        <w:rPr>
          <w:rFonts w:ascii="Oriya MN" w:hAnsi="Oriya MN" w:cs="Oriya MN"/>
          <w:color w:val="00240C"/>
        </w:rPr>
        <w:t xml:space="preserve"> or other body which, alone or jointly with others, determines the purposes and means of the processing of personal data.  In the case of a contract between a therapist and client in private practice, the therapist is the "data controller." </w:t>
      </w:r>
    </w:p>
    <w:p w14:paraId="30B75D77" w14:textId="77777777" w:rsidR="007466FB" w:rsidRPr="00114B22" w:rsidRDefault="007466FB" w:rsidP="007466FB">
      <w:pPr>
        <w:tabs>
          <w:tab w:val="left" w:pos="1175"/>
        </w:tabs>
        <w:jc w:val="both"/>
        <w:rPr>
          <w:rFonts w:ascii="Oriya MN" w:hAnsi="Oriya MN" w:cs="Oriya MN"/>
          <w:color w:val="00240C"/>
        </w:rPr>
      </w:pPr>
      <w:r w:rsidRPr="00114B22">
        <w:rPr>
          <w:rFonts w:ascii="Oriya MN" w:hAnsi="Oriya MN" w:cs="Oriya MN"/>
          <w:b/>
          <w:bCs/>
          <w:color w:val="00240C"/>
        </w:rPr>
        <w:lastRenderedPageBreak/>
        <w:t xml:space="preserve">“Data Concerning Health” </w:t>
      </w:r>
      <w:r w:rsidRPr="00114B22">
        <w:rPr>
          <w:rFonts w:ascii="Oriya MN" w:hAnsi="Oriya MN" w:cs="Oriya MN"/>
          <w:color w:val="00240C"/>
        </w:rPr>
        <w:t>means personal data related to the physical or mental health of a natural person, including the provision of health care services, which reveal information about his or her health status.</w:t>
      </w:r>
    </w:p>
    <w:p w14:paraId="05896138" w14:textId="77777777" w:rsidR="007466FB" w:rsidRPr="00114B22" w:rsidRDefault="007466FB" w:rsidP="007466FB">
      <w:pPr>
        <w:tabs>
          <w:tab w:val="left" w:pos="1175"/>
        </w:tabs>
        <w:jc w:val="both"/>
        <w:rPr>
          <w:rFonts w:ascii="Oriya MN" w:hAnsi="Oriya MN" w:cs="Oriya MN"/>
          <w:color w:val="00240C"/>
        </w:rPr>
      </w:pPr>
      <w:r w:rsidRPr="00114B22">
        <w:rPr>
          <w:rFonts w:ascii="Oriya MN" w:hAnsi="Oriya MN" w:cs="Oriya MN"/>
          <w:b/>
          <w:bCs/>
          <w:color w:val="00240C"/>
        </w:rPr>
        <w:t xml:space="preserve">“Consent” </w:t>
      </w:r>
      <w:r w:rsidRPr="00114B22">
        <w:rPr>
          <w:rFonts w:ascii="Oriya MN" w:hAnsi="Oriya MN" w:cs="Oriya MN"/>
          <w:color w:val="00240C"/>
        </w:rPr>
        <w:t xml:space="preserve">of the data subject means any freely given, specific, </w:t>
      </w:r>
      <w:proofErr w:type="gramStart"/>
      <w:r w:rsidRPr="00114B22">
        <w:rPr>
          <w:rFonts w:ascii="Oriya MN" w:hAnsi="Oriya MN" w:cs="Oriya MN"/>
          <w:color w:val="00240C"/>
        </w:rPr>
        <w:t>informed</w:t>
      </w:r>
      <w:proofErr w:type="gramEnd"/>
      <w:r w:rsidRPr="00114B22">
        <w:rPr>
          <w:rFonts w:ascii="Oriya MN" w:hAnsi="Oriya MN" w:cs="Oriya MN"/>
          <w:color w:val="00240C"/>
        </w:rPr>
        <w:t xml:space="preserve"> and unambiguous indication of the data subject’s wishes by which he or she, by a statement or by a clear affirmative action, signifies agreement to the processing of personal data relating to him or her.</w:t>
      </w:r>
    </w:p>
    <w:p w14:paraId="026363A9" w14:textId="77777777" w:rsidR="007466FB" w:rsidRPr="00114B22" w:rsidRDefault="007466FB" w:rsidP="007466FB">
      <w:pPr>
        <w:pStyle w:val="ListParagraph"/>
        <w:numPr>
          <w:ilvl w:val="0"/>
          <w:numId w:val="14"/>
        </w:numPr>
        <w:spacing w:after="0"/>
        <w:ind w:left="360"/>
        <w:jc w:val="both"/>
        <w:rPr>
          <w:rFonts w:ascii="Oriya MN" w:hAnsi="Oriya MN" w:cs="Oriya MN"/>
          <w:b/>
          <w:bCs/>
          <w:color w:val="00240C"/>
        </w:rPr>
      </w:pPr>
      <w:r w:rsidRPr="00114B22">
        <w:rPr>
          <w:rFonts w:ascii="Oriya MN" w:hAnsi="Oriya MN" w:cs="Oriya MN"/>
          <w:b/>
          <w:bCs/>
          <w:color w:val="00240C"/>
        </w:rPr>
        <w:t>Appropriate Policy Document</w:t>
      </w:r>
    </w:p>
    <w:p w14:paraId="39F2F45B" w14:textId="77777777"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The Data Protection Act 2018 (DPA 2018) outlines the requirement for an Appropriate Policy Document (APD) to be in place when processing special category (SC) and criminal offence (CO) data under certain specified conditions.</w:t>
      </w:r>
    </w:p>
    <w:p w14:paraId="3895161C" w14:textId="77777777" w:rsidR="007466FB" w:rsidRPr="00114B22" w:rsidRDefault="007466FB" w:rsidP="007466FB">
      <w:pPr>
        <w:spacing w:line="240" w:lineRule="auto"/>
        <w:jc w:val="both"/>
        <w:rPr>
          <w:rFonts w:ascii="Oriya MN" w:eastAsia="Times New Roman" w:hAnsi="Oriya MN" w:cs="Oriya MN"/>
          <w:color w:val="00240C"/>
          <w:lang w:eastAsia="en-GB"/>
        </w:rPr>
      </w:pPr>
      <w:r w:rsidRPr="00114B22">
        <w:rPr>
          <w:rFonts w:ascii="Oriya MN" w:eastAsia="Times New Roman" w:hAnsi="Oriya MN" w:cs="Oriya MN"/>
          <w:color w:val="00240C"/>
          <w:lang w:val="en-US" w:eastAsia="en-GB"/>
        </w:rPr>
        <w:t xml:space="preserve">This document is </w:t>
      </w:r>
      <w:r w:rsidRPr="00114B22">
        <w:rPr>
          <w:rFonts w:ascii="Oriya MN" w:eastAsia="Times New Roman" w:hAnsi="Oriya MN" w:cs="Oriya MN"/>
          <w:color w:val="00240C"/>
          <w:lang w:eastAsia="en-GB"/>
        </w:rPr>
        <w:t>intended to demonstrate that my processing of SC and CO data based on these specific Schedule 1 conditions is compliant with the requirements of the General Data Protection Regulation (GDPR) Article 5 Principles</w:t>
      </w:r>
    </w:p>
    <w:p w14:paraId="4A7E12DA"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Reliance on one of these conditions, requires a documented general record of processing activities under GDPR Article 30 and must include:</w:t>
      </w:r>
    </w:p>
    <w:p w14:paraId="61A61780" w14:textId="77777777" w:rsidR="007466FB" w:rsidRPr="00114B22" w:rsidRDefault="007466FB" w:rsidP="007466FB">
      <w:pPr>
        <w:pStyle w:val="ListParagraph"/>
        <w:numPr>
          <w:ilvl w:val="0"/>
          <w:numId w:val="13"/>
        </w:numPr>
        <w:spacing w:before="120" w:after="120" w:line="240" w:lineRule="auto"/>
        <w:ind w:left="1080"/>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 xml:space="preserve"> The condition which is relied </w:t>
      </w:r>
      <w:proofErr w:type="gramStart"/>
      <w:r w:rsidRPr="00114B22">
        <w:rPr>
          <w:rFonts w:ascii="Oriya MN" w:eastAsia="Times New Roman" w:hAnsi="Oriya MN" w:cs="Oriya MN"/>
          <w:color w:val="00240C"/>
          <w:lang w:val="en-US" w:eastAsia="en-GB"/>
        </w:rPr>
        <w:t>upon;</w:t>
      </w:r>
      <w:proofErr w:type="gramEnd"/>
      <w:r w:rsidRPr="00114B22">
        <w:rPr>
          <w:rFonts w:ascii="Oriya MN" w:eastAsia="Times New Roman" w:hAnsi="Oriya MN" w:cs="Oriya MN"/>
          <w:color w:val="00240C"/>
          <w:lang w:val="en-US" w:eastAsia="en-GB"/>
        </w:rPr>
        <w:t xml:space="preserve"> </w:t>
      </w:r>
    </w:p>
    <w:p w14:paraId="3BE06F54" w14:textId="77777777" w:rsidR="007466FB" w:rsidRPr="00114B22" w:rsidRDefault="007466FB" w:rsidP="007466FB">
      <w:pPr>
        <w:pStyle w:val="ListParagraph"/>
        <w:numPr>
          <w:ilvl w:val="0"/>
          <w:numId w:val="13"/>
        </w:numPr>
        <w:spacing w:before="120" w:after="120" w:line="240" w:lineRule="auto"/>
        <w:ind w:left="1080"/>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 xml:space="preserve"> How the processing satisfies Article 6 of the GDPR (lawfulness </w:t>
      </w:r>
      <w:proofErr w:type="gramStart"/>
      <w:r w:rsidRPr="00114B22">
        <w:rPr>
          <w:rFonts w:ascii="Oriya MN" w:eastAsia="Times New Roman" w:hAnsi="Oriya MN" w:cs="Oriya MN"/>
          <w:color w:val="00240C"/>
          <w:lang w:val="en-US" w:eastAsia="en-GB"/>
        </w:rPr>
        <w:t>of  processing</w:t>
      </w:r>
      <w:proofErr w:type="gramEnd"/>
      <w:r w:rsidRPr="00114B22">
        <w:rPr>
          <w:rFonts w:ascii="Oriya MN" w:eastAsia="Times New Roman" w:hAnsi="Oriya MN" w:cs="Oriya MN"/>
          <w:color w:val="00240C"/>
          <w:lang w:val="en-US" w:eastAsia="en-GB"/>
        </w:rPr>
        <w:t>); and</w:t>
      </w:r>
    </w:p>
    <w:p w14:paraId="2C1BBD96" w14:textId="77777777" w:rsidR="007466FB" w:rsidRPr="00114B22" w:rsidRDefault="007466FB" w:rsidP="007466FB">
      <w:pPr>
        <w:pStyle w:val="ListParagraph"/>
        <w:numPr>
          <w:ilvl w:val="0"/>
          <w:numId w:val="13"/>
        </w:numPr>
        <w:spacing w:before="120" w:after="120" w:line="240" w:lineRule="auto"/>
        <w:ind w:left="1080"/>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 xml:space="preserve"> Whether the personal data is retained and erased in </w:t>
      </w:r>
      <w:proofErr w:type="gramStart"/>
      <w:r w:rsidRPr="00114B22">
        <w:rPr>
          <w:rFonts w:ascii="Oriya MN" w:eastAsia="Times New Roman" w:hAnsi="Oriya MN" w:cs="Oriya MN"/>
          <w:color w:val="00240C"/>
          <w:lang w:val="en-US" w:eastAsia="en-GB"/>
        </w:rPr>
        <w:t>accordance  with</w:t>
      </w:r>
      <w:proofErr w:type="gramEnd"/>
      <w:r w:rsidRPr="00114B22">
        <w:rPr>
          <w:rFonts w:ascii="Oriya MN" w:eastAsia="Times New Roman" w:hAnsi="Oriya MN" w:cs="Oriya MN"/>
          <w:color w:val="00240C"/>
          <w:lang w:val="en-US" w:eastAsia="en-GB"/>
        </w:rPr>
        <w:t xml:space="preserve"> the retention policies outlined in this APD, and if not,  the reasons why these policies have not been followed.</w:t>
      </w:r>
    </w:p>
    <w:p w14:paraId="3F44F5B0"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hAnsi="Oriya MN" w:cs="Oriya MN"/>
          <w:color w:val="00240C"/>
        </w:rPr>
        <w:t xml:space="preserve">The APD therefore complements the general </w:t>
      </w:r>
      <w:r w:rsidRPr="00114B22">
        <w:rPr>
          <w:rFonts w:ascii="Oriya MN" w:eastAsia="Times New Roman" w:hAnsi="Oriya MN" w:cs="Oriya MN"/>
          <w:color w:val="00240C"/>
          <w:lang w:val="en-US" w:eastAsia="en-GB"/>
        </w:rPr>
        <w:t>record of processing under Article 30 of the GDPR and provides SC and CO data with further protection and accountability. This is in accordance with Schedule 1 Part 4 paragraph 41.</w:t>
      </w:r>
    </w:p>
    <w:p w14:paraId="539244BE"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 xml:space="preserve">The APD will be kept under review and will need to be retained for </w:t>
      </w:r>
      <w:r w:rsidRPr="00114B22">
        <w:rPr>
          <w:rFonts w:ascii="Oriya MN" w:eastAsia="Times New Roman" w:hAnsi="Oriya MN" w:cs="Oriya MN"/>
          <w:b/>
          <w:bCs/>
          <w:color w:val="00240C"/>
          <w:lang w:val="en-US" w:eastAsia="en-GB"/>
        </w:rPr>
        <w:t>six months</w:t>
      </w:r>
      <w:r w:rsidRPr="00114B22">
        <w:rPr>
          <w:rFonts w:ascii="Oriya MN" w:eastAsia="Times New Roman" w:hAnsi="Oriya MN" w:cs="Oriya MN"/>
          <w:color w:val="00240C"/>
          <w:lang w:val="en-US" w:eastAsia="en-GB"/>
        </w:rPr>
        <w:t xml:space="preserve"> after the date at which the relevant processing ends. If the Commissioner asks to see this policy, it will be provided free of charge in accordance with Schedule 1 Part 4 paragraph 40.</w:t>
      </w:r>
    </w:p>
    <w:p w14:paraId="2D6404C4" w14:textId="77777777" w:rsidR="007466FB" w:rsidRPr="00114B22" w:rsidRDefault="007466FB" w:rsidP="007466FB">
      <w:pPr>
        <w:pStyle w:val="ListParagraph"/>
        <w:numPr>
          <w:ilvl w:val="0"/>
          <w:numId w:val="14"/>
        </w:numPr>
        <w:spacing w:after="0" w:line="240" w:lineRule="auto"/>
        <w:ind w:left="0" w:firstLine="0"/>
        <w:jc w:val="both"/>
        <w:rPr>
          <w:rFonts w:ascii="Oriya MN" w:eastAsia="Times New Roman" w:hAnsi="Oriya MN" w:cs="Oriya MN"/>
          <w:b/>
          <w:bCs/>
          <w:color w:val="00240C"/>
          <w:lang w:val="en-US" w:eastAsia="en-GB"/>
        </w:rPr>
      </w:pPr>
      <w:r w:rsidRPr="00114B22">
        <w:rPr>
          <w:rFonts w:ascii="Oriya MN" w:eastAsia="Times New Roman" w:hAnsi="Oriya MN" w:cs="Oriya MN"/>
          <w:b/>
          <w:bCs/>
          <w:color w:val="00240C"/>
          <w:lang w:val="en-US" w:eastAsia="en-GB"/>
        </w:rPr>
        <w:t>Accountability and the principles of data protection law</w:t>
      </w:r>
    </w:p>
    <w:p w14:paraId="7117A193"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 xml:space="preserve">I am required to process your data in accordance with the principles of the law. These principles </w:t>
      </w:r>
      <w:proofErr w:type="gramStart"/>
      <w:r w:rsidRPr="00114B22">
        <w:rPr>
          <w:rFonts w:ascii="Oriya MN" w:eastAsia="Times New Roman" w:hAnsi="Oriya MN" w:cs="Oriya MN"/>
          <w:color w:val="00240C"/>
          <w:lang w:val="en-US" w:eastAsia="en-GB"/>
        </w:rPr>
        <w:t>include;</w:t>
      </w:r>
      <w:proofErr w:type="gramEnd"/>
    </w:p>
    <w:p w14:paraId="329E8475"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3.1</w:t>
      </w:r>
      <w:r w:rsidRPr="00114B22">
        <w:rPr>
          <w:rFonts w:ascii="Oriya MN" w:eastAsia="Times New Roman" w:hAnsi="Oriya MN" w:cs="Oriya MN"/>
          <w:color w:val="00240C"/>
          <w:lang w:val="en-US" w:eastAsia="en-GB"/>
        </w:rPr>
        <w:tab/>
        <w:t xml:space="preserve">Ensuring lawfulness, fairness and </w:t>
      </w:r>
      <w:proofErr w:type="gramStart"/>
      <w:r w:rsidRPr="00114B22">
        <w:rPr>
          <w:rFonts w:ascii="Oriya MN" w:eastAsia="Times New Roman" w:hAnsi="Oriya MN" w:cs="Oriya MN"/>
          <w:color w:val="00240C"/>
          <w:lang w:val="en-US" w:eastAsia="en-GB"/>
        </w:rPr>
        <w:t>transparency;</w:t>
      </w:r>
      <w:proofErr w:type="gramEnd"/>
    </w:p>
    <w:p w14:paraId="064C4051"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3.2</w:t>
      </w:r>
      <w:r w:rsidRPr="00114B22">
        <w:rPr>
          <w:rFonts w:ascii="Oriya MN" w:eastAsia="Times New Roman" w:hAnsi="Oriya MN" w:cs="Oriya MN"/>
          <w:color w:val="00240C"/>
          <w:lang w:val="en-US" w:eastAsia="en-GB"/>
        </w:rPr>
        <w:tab/>
        <w:t xml:space="preserve">The purpose for processing is limited to the reason for initially collecting the </w:t>
      </w:r>
      <w:proofErr w:type="gramStart"/>
      <w:r w:rsidRPr="00114B22">
        <w:rPr>
          <w:rFonts w:ascii="Oriya MN" w:eastAsia="Times New Roman" w:hAnsi="Oriya MN" w:cs="Oriya MN"/>
          <w:color w:val="00240C"/>
          <w:lang w:val="en-US" w:eastAsia="en-GB"/>
        </w:rPr>
        <w:t>data;</w:t>
      </w:r>
      <w:proofErr w:type="gramEnd"/>
    </w:p>
    <w:p w14:paraId="364C25AA"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3.3</w:t>
      </w:r>
      <w:r w:rsidRPr="00114B22">
        <w:rPr>
          <w:rFonts w:ascii="Oriya MN" w:eastAsia="Times New Roman" w:hAnsi="Oriya MN" w:cs="Oriya MN"/>
          <w:color w:val="00240C"/>
          <w:lang w:val="en-US" w:eastAsia="en-GB"/>
        </w:rPr>
        <w:tab/>
        <w:t xml:space="preserve">The extent of the data to be processed is </w:t>
      </w:r>
      <w:proofErr w:type="spellStart"/>
      <w:proofErr w:type="gramStart"/>
      <w:r w:rsidRPr="00114B22">
        <w:rPr>
          <w:rFonts w:ascii="Oriya MN" w:eastAsia="Times New Roman" w:hAnsi="Oriya MN" w:cs="Oriya MN"/>
          <w:color w:val="00240C"/>
          <w:lang w:val="en-US" w:eastAsia="en-GB"/>
        </w:rPr>
        <w:t>minimised</w:t>
      </w:r>
      <w:proofErr w:type="spellEnd"/>
      <w:r w:rsidRPr="00114B22">
        <w:rPr>
          <w:rFonts w:ascii="Oriya MN" w:eastAsia="Times New Roman" w:hAnsi="Oriya MN" w:cs="Oriya MN"/>
          <w:color w:val="00240C"/>
          <w:lang w:val="en-US" w:eastAsia="en-GB"/>
        </w:rPr>
        <w:t>;</w:t>
      </w:r>
      <w:proofErr w:type="gramEnd"/>
    </w:p>
    <w:p w14:paraId="224DB41D"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lastRenderedPageBreak/>
        <w:t>3.4</w:t>
      </w:r>
      <w:r w:rsidRPr="00114B22">
        <w:rPr>
          <w:rFonts w:ascii="Oriya MN" w:eastAsia="Times New Roman" w:hAnsi="Oriya MN" w:cs="Oriya MN"/>
          <w:color w:val="00240C"/>
          <w:lang w:val="en-US" w:eastAsia="en-GB"/>
        </w:rPr>
        <w:tab/>
        <w:t xml:space="preserve">To the best of my knowledge, the data is </w:t>
      </w:r>
      <w:proofErr w:type="gramStart"/>
      <w:r w:rsidRPr="00114B22">
        <w:rPr>
          <w:rFonts w:ascii="Oriya MN" w:eastAsia="Times New Roman" w:hAnsi="Oriya MN" w:cs="Oriya MN"/>
          <w:color w:val="00240C"/>
          <w:lang w:val="en-US" w:eastAsia="en-GB"/>
        </w:rPr>
        <w:t>accurate;</w:t>
      </w:r>
      <w:proofErr w:type="gramEnd"/>
    </w:p>
    <w:p w14:paraId="1A038FB5"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3.5</w:t>
      </w:r>
      <w:r w:rsidRPr="00114B22">
        <w:rPr>
          <w:rFonts w:ascii="Oriya MN" w:eastAsia="Times New Roman" w:hAnsi="Oriya MN" w:cs="Oriya MN"/>
          <w:color w:val="00240C"/>
          <w:lang w:val="en-US" w:eastAsia="en-GB"/>
        </w:rPr>
        <w:tab/>
        <w:t xml:space="preserve">Data is only retained for as long as I have a legal obligation or there is a necessity to keep </w:t>
      </w:r>
      <w:proofErr w:type="gramStart"/>
      <w:r w:rsidRPr="00114B22">
        <w:rPr>
          <w:rFonts w:ascii="Oriya MN" w:eastAsia="Times New Roman" w:hAnsi="Oriya MN" w:cs="Oriya MN"/>
          <w:color w:val="00240C"/>
          <w:lang w:val="en-US" w:eastAsia="en-GB"/>
        </w:rPr>
        <w:t>it;</w:t>
      </w:r>
      <w:proofErr w:type="gramEnd"/>
    </w:p>
    <w:p w14:paraId="15ACDE0F"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3.6</w:t>
      </w:r>
      <w:r w:rsidRPr="00114B22">
        <w:rPr>
          <w:rFonts w:ascii="Oriya MN" w:eastAsia="Times New Roman" w:hAnsi="Oriya MN" w:cs="Oriya MN"/>
          <w:color w:val="00240C"/>
          <w:lang w:val="en-US" w:eastAsia="en-GB"/>
        </w:rPr>
        <w:tab/>
        <w:t xml:space="preserve">As far as is possible, I secure the data with adequate safeguards and </w:t>
      </w:r>
      <w:proofErr w:type="gramStart"/>
      <w:r w:rsidRPr="00114B22">
        <w:rPr>
          <w:rFonts w:ascii="Oriya MN" w:eastAsia="Times New Roman" w:hAnsi="Oriya MN" w:cs="Oriya MN"/>
          <w:color w:val="00240C"/>
          <w:lang w:val="en-US" w:eastAsia="en-GB"/>
        </w:rPr>
        <w:t>procedures;</w:t>
      </w:r>
      <w:proofErr w:type="gramEnd"/>
    </w:p>
    <w:p w14:paraId="23CFADFB" w14:textId="77777777" w:rsidR="007466FB" w:rsidRPr="00114B22" w:rsidRDefault="007466FB" w:rsidP="007466FB">
      <w:pPr>
        <w:spacing w:line="240" w:lineRule="auto"/>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3.7</w:t>
      </w:r>
      <w:r w:rsidRPr="00114B22">
        <w:rPr>
          <w:rFonts w:ascii="Oriya MN" w:eastAsia="Times New Roman" w:hAnsi="Oriya MN" w:cs="Oriya MN"/>
          <w:color w:val="00240C"/>
          <w:lang w:val="en-US" w:eastAsia="en-GB"/>
        </w:rPr>
        <w:tab/>
        <w:t xml:space="preserve">I am accountable for the data and have instigated the following measures to ensure I can demonstrate </w:t>
      </w:r>
      <w:proofErr w:type="gramStart"/>
      <w:r w:rsidRPr="00114B22">
        <w:rPr>
          <w:rFonts w:ascii="Oriya MN" w:eastAsia="Times New Roman" w:hAnsi="Oriya MN" w:cs="Oriya MN"/>
          <w:color w:val="00240C"/>
          <w:lang w:val="en-US" w:eastAsia="en-GB"/>
        </w:rPr>
        <w:t>this;</w:t>
      </w:r>
      <w:proofErr w:type="gramEnd"/>
    </w:p>
    <w:p w14:paraId="7152496D" w14:textId="77777777" w:rsidR="007466FB" w:rsidRPr="00114B22" w:rsidRDefault="007466FB" w:rsidP="007466FB">
      <w:pPr>
        <w:spacing w:line="240" w:lineRule="auto"/>
        <w:ind w:left="720"/>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3.7.1</w:t>
      </w:r>
      <w:r w:rsidRPr="00114B22">
        <w:rPr>
          <w:rFonts w:ascii="Oriya MN" w:eastAsia="Times New Roman" w:hAnsi="Oriya MN" w:cs="Oriya MN"/>
          <w:color w:val="00240C"/>
          <w:lang w:val="en-US" w:eastAsia="en-GB"/>
        </w:rPr>
        <w:tab/>
        <w:t xml:space="preserve">Wherever possible, I take a data protection ‘by Design and default’ approach to my </w:t>
      </w:r>
      <w:r w:rsidRPr="00114B22">
        <w:rPr>
          <w:rFonts w:ascii="Oriya MN" w:eastAsia="Times New Roman" w:hAnsi="Oriya MN" w:cs="Oriya MN"/>
          <w:color w:val="00240C"/>
          <w:lang w:val="en-US" w:eastAsia="en-GB"/>
        </w:rPr>
        <w:tab/>
      </w:r>
      <w:proofErr w:type="gramStart"/>
      <w:r w:rsidRPr="00114B22">
        <w:rPr>
          <w:rFonts w:ascii="Oriya MN" w:eastAsia="Times New Roman" w:hAnsi="Oriya MN" w:cs="Oriya MN"/>
          <w:color w:val="00240C"/>
          <w:lang w:val="en-US" w:eastAsia="en-GB"/>
        </w:rPr>
        <w:t>work;</w:t>
      </w:r>
      <w:proofErr w:type="gramEnd"/>
    </w:p>
    <w:p w14:paraId="7CD7D33B" w14:textId="77777777" w:rsidR="007466FB" w:rsidRPr="00114B22" w:rsidRDefault="007466FB" w:rsidP="007466FB">
      <w:pPr>
        <w:spacing w:line="240" w:lineRule="auto"/>
        <w:ind w:left="720"/>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3.7.2</w:t>
      </w:r>
      <w:r w:rsidRPr="00114B22">
        <w:rPr>
          <w:rFonts w:ascii="Oriya MN" w:eastAsia="Times New Roman" w:hAnsi="Oriya MN" w:cs="Oriya MN"/>
          <w:color w:val="00240C"/>
          <w:lang w:val="en-US" w:eastAsia="en-GB"/>
        </w:rPr>
        <w:tab/>
        <w:t xml:space="preserve">I maintain records of data processing </w:t>
      </w:r>
      <w:proofErr w:type="gramStart"/>
      <w:r w:rsidRPr="00114B22">
        <w:rPr>
          <w:rFonts w:ascii="Oriya MN" w:eastAsia="Times New Roman" w:hAnsi="Oriya MN" w:cs="Oriya MN"/>
          <w:color w:val="00240C"/>
          <w:lang w:val="en-US" w:eastAsia="en-GB"/>
        </w:rPr>
        <w:t>activities;</w:t>
      </w:r>
      <w:proofErr w:type="gramEnd"/>
    </w:p>
    <w:p w14:paraId="7ECF695A" w14:textId="77777777" w:rsidR="007466FB" w:rsidRPr="00114B22" w:rsidRDefault="007466FB" w:rsidP="007466FB">
      <w:pPr>
        <w:spacing w:line="240" w:lineRule="auto"/>
        <w:ind w:left="720"/>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3.7.3</w:t>
      </w:r>
      <w:r w:rsidRPr="00114B22">
        <w:rPr>
          <w:rFonts w:ascii="Oriya MN" w:eastAsia="Times New Roman" w:hAnsi="Oriya MN" w:cs="Oriya MN"/>
          <w:color w:val="00240C"/>
          <w:lang w:val="en-US" w:eastAsia="en-GB"/>
        </w:rPr>
        <w:tab/>
        <w:t xml:space="preserve">Where necessary I have appropriate arrangements in place with those that I may </w:t>
      </w:r>
      <w:r w:rsidRPr="00114B22">
        <w:rPr>
          <w:rFonts w:ascii="Oriya MN" w:eastAsia="Times New Roman" w:hAnsi="Oriya MN" w:cs="Oriya MN"/>
          <w:color w:val="00240C"/>
          <w:lang w:val="en-US" w:eastAsia="en-GB"/>
        </w:rPr>
        <w:tab/>
        <w:t xml:space="preserve">share information with, such as my </w:t>
      </w:r>
      <w:proofErr w:type="gramStart"/>
      <w:r w:rsidRPr="00114B22">
        <w:rPr>
          <w:rFonts w:ascii="Oriya MN" w:eastAsia="Times New Roman" w:hAnsi="Oriya MN" w:cs="Oriya MN"/>
          <w:color w:val="00240C"/>
          <w:lang w:val="en-US" w:eastAsia="en-GB"/>
        </w:rPr>
        <w:t>supervisor;</w:t>
      </w:r>
      <w:proofErr w:type="gramEnd"/>
    </w:p>
    <w:p w14:paraId="7609A9B0" w14:textId="77777777" w:rsidR="007466FB" w:rsidRPr="00114B22" w:rsidRDefault="007466FB" w:rsidP="007466FB">
      <w:pPr>
        <w:spacing w:line="240" w:lineRule="auto"/>
        <w:ind w:left="720"/>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3.7.4</w:t>
      </w:r>
      <w:r w:rsidRPr="00114B22">
        <w:rPr>
          <w:rFonts w:ascii="Oriya MN" w:eastAsia="Times New Roman" w:hAnsi="Oriya MN" w:cs="Oriya MN"/>
          <w:color w:val="00240C"/>
          <w:lang w:val="en-US" w:eastAsia="en-GB"/>
        </w:rPr>
        <w:tab/>
        <w:t xml:space="preserve">My physical and cyber security arrangements are regularly reviewed and updated </w:t>
      </w:r>
      <w:r w:rsidRPr="00114B22">
        <w:rPr>
          <w:rFonts w:ascii="Oriya MN" w:eastAsia="Times New Roman" w:hAnsi="Oriya MN" w:cs="Oriya MN"/>
          <w:color w:val="00240C"/>
          <w:lang w:val="en-US" w:eastAsia="en-GB"/>
        </w:rPr>
        <w:tab/>
        <w:t xml:space="preserve">where </w:t>
      </w:r>
      <w:proofErr w:type="gramStart"/>
      <w:r w:rsidRPr="00114B22">
        <w:rPr>
          <w:rFonts w:ascii="Oriya MN" w:eastAsia="Times New Roman" w:hAnsi="Oriya MN" w:cs="Oriya MN"/>
          <w:color w:val="00240C"/>
          <w:lang w:val="en-US" w:eastAsia="en-GB"/>
        </w:rPr>
        <w:t>necessary;</w:t>
      </w:r>
      <w:proofErr w:type="gramEnd"/>
    </w:p>
    <w:p w14:paraId="6BBFB8D9" w14:textId="77777777" w:rsidR="007466FB" w:rsidRPr="00114B22" w:rsidRDefault="007466FB" w:rsidP="007466FB">
      <w:pPr>
        <w:spacing w:line="240" w:lineRule="auto"/>
        <w:ind w:left="720"/>
        <w:jc w:val="both"/>
        <w:rPr>
          <w:rFonts w:ascii="Oriya MN" w:eastAsia="Times New Roman" w:hAnsi="Oriya MN" w:cs="Oriya MN"/>
          <w:color w:val="00240C"/>
          <w:lang w:val="en-US" w:eastAsia="en-GB"/>
        </w:rPr>
      </w:pPr>
      <w:r w:rsidRPr="00114B22">
        <w:rPr>
          <w:rFonts w:ascii="Oriya MN" w:eastAsia="Times New Roman" w:hAnsi="Oriya MN" w:cs="Oriya MN"/>
          <w:color w:val="00240C"/>
          <w:lang w:val="en-US" w:eastAsia="en-GB"/>
        </w:rPr>
        <w:t>3.7.5</w:t>
      </w:r>
      <w:r w:rsidRPr="00114B22">
        <w:rPr>
          <w:rFonts w:ascii="Oriya MN" w:eastAsia="Times New Roman" w:hAnsi="Oriya MN" w:cs="Oriya MN"/>
          <w:color w:val="00240C"/>
          <w:lang w:val="en-US" w:eastAsia="en-GB"/>
        </w:rPr>
        <w:tab/>
        <w:t xml:space="preserve">I regularly review my accountability requirements. </w:t>
      </w:r>
    </w:p>
    <w:p w14:paraId="35235D09" w14:textId="77777777" w:rsidR="007466FB" w:rsidRPr="00114B22" w:rsidRDefault="007466FB" w:rsidP="007466FB">
      <w:pPr>
        <w:pStyle w:val="ListParagraph"/>
        <w:numPr>
          <w:ilvl w:val="0"/>
          <w:numId w:val="14"/>
        </w:numPr>
        <w:spacing w:after="0" w:line="240" w:lineRule="auto"/>
        <w:ind w:left="0" w:firstLine="0"/>
        <w:jc w:val="both"/>
        <w:rPr>
          <w:rFonts w:ascii="Oriya MN" w:hAnsi="Oriya MN" w:cs="Oriya MN"/>
          <w:color w:val="00240C"/>
        </w:rPr>
      </w:pPr>
      <w:r w:rsidRPr="00114B22">
        <w:rPr>
          <w:rFonts w:ascii="Oriya MN" w:hAnsi="Oriya MN" w:cs="Oriya MN"/>
          <w:b/>
          <w:bCs/>
          <w:color w:val="00240C"/>
        </w:rPr>
        <w:t>Description of Processing Activity</w:t>
      </w:r>
    </w:p>
    <w:p w14:paraId="28B4F405" w14:textId="77777777"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 xml:space="preserve">When I deliver services to you, I process normal data and Special Category (SC) data as defined in the GDPR Article 9. </w:t>
      </w:r>
      <w:proofErr w:type="gramStart"/>
      <w:r w:rsidRPr="00114B22">
        <w:rPr>
          <w:rFonts w:ascii="Oriya MN" w:hAnsi="Oriya MN" w:cs="Oriya MN"/>
          <w:color w:val="00240C"/>
        </w:rPr>
        <w:t>In order to</w:t>
      </w:r>
      <w:proofErr w:type="gramEnd"/>
      <w:r w:rsidRPr="00114B22">
        <w:rPr>
          <w:rFonts w:ascii="Oriya MN" w:hAnsi="Oriya MN" w:cs="Oriya MN"/>
          <w:color w:val="00240C"/>
        </w:rPr>
        <w:t xml:space="preserve"> deliver services to you it may be necessary to process a broad range of categories of data including information about your physical and psychological health. My processing activities may also include personal information identifying other important people in your life such as your partner, family members or friends.</w:t>
      </w:r>
    </w:p>
    <w:p w14:paraId="41021DD0" w14:textId="77777777" w:rsidR="007466FB" w:rsidRPr="00114B22" w:rsidRDefault="007466FB" w:rsidP="007466FB">
      <w:pPr>
        <w:spacing w:after="0" w:line="240" w:lineRule="auto"/>
        <w:contextualSpacing/>
        <w:jc w:val="both"/>
        <w:rPr>
          <w:rFonts w:ascii="Oriya MN" w:hAnsi="Oriya MN" w:cs="Oriya MN"/>
          <w:color w:val="00240C"/>
        </w:rPr>
      </w:pPr>
    </w:p>
    <w:p w14:paraId="093E7EAC" w14:textId="77777777" w:rsidR="007466FB" w:rsidRPr="00114B22" w:rsidRDefault="007466FB" w:rsidP="007466FB">
      <w:pPr>
        <w:pStyle w:val="ListParagraph"/>
        <w:numPr>
          <w:ilvl w:val="0"/>
          <w:numId w:val="14"/>
        </w:numPr>
        <w:spacing w:after="0" w:line="240" w:lineRule="auto"/>
        <w:ind w:left="0" w:firstLine="0"/>
        <w:jc w:val="both"/>
        <w:rPr>
          <w:rFonts w:ascii="Oriya MN" w:hAnsi="Oriya MN" w:cs="Oriya MN"/>
          <w:b/>
          <w:bCs/>
          <w:color w:val="00240C"/>
        </w:rPr>
      </w:pPr>
      <w:r w:rsidRPr="00114B22">
        <w:rPr>
          <w:rFonts w:ascii="Oriya MN" w:hAnsi="Oriya MN" w:cs="Oriya MN"/>
          <w:b/>
          <w:bCs/>
          <w:color w:val="00240C"/>
        </w:rPr>
        <w:t>Upholding Rights and Principles</w:t>
      </w:r>
    </w:p>
    <w:p w14:paraId="3D8E3240" w14:textId="77777777"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 xml:space="preserve">In some circumstances, I will be unable to uphold nor acknowledge some of the rights listed in and in accordance with Data Protection Act 2018 such </w:t>
      </w:r>
      <w:proofErr w:type="gramStart"/>
      <w:r w:rsidRPr="00114B22">
        <w:rPr>
          <w:rFonts w:ascii="Oriya MN" w:hAnsi="Oriya MN" w:cs="Oriya MN"/>
          <w:color w:val="00240C"/>
        </w:rPr>
        <w:t>as;</w:t>
      </w:r>
      <w:proofErr w:type="gramEnd"/>
    </w:p>
    <w:p w14:paraId="132A89B5" w14:textId="77777777" w:rsidR="007466FB" w:rsidRPr="00114B22" w:rsidRDefault="007466FB" w:rsidP="007466FB">
      <w:pPr>
        <w:pStyle w:val="ListParagraph"/>
        <w:numPr>
          <w:ilvl w:val="0"/>
          <w:numId w:val="16"/>
        </w:numPr>
        <w:spacing w:after="0" w:line="240" w:lineRule="auto"/>
        <w:jc w:val="both"/>
        <w:rPr>
          <w:rFonts w:ascii="Oriya MN" w:hAnsi="Oriya MN" w:cs="Oriya MN"/>
          <w:color w:val="00240C"/>
        </w:rPr>
      </w:pPr>
      <w:r w:rsidRPr="00114B22">
        <w:rPr>
          <w:rFonts w:ascii="Oriya MN" w:hAnsi="Oriya MN" w:cs="Oriya MN"/>
          <w:color w:val="00240C"/>
        </w:rPr>
        <w:t xml:space="preserve">The right to be </w:t>
      </w:r>
      <w:proofErr w:type="gramStart"/>
      <w:r w:rsidRPr="00114B22">
        <w:rPr>
          <w:rFonts w:ascii="Oriya MN" w:hAnsi="Oriya MN" w:cs="Oriya MN"/>
          <w:color w:val="00240C"/>
        </w:rPr>
        <w:t>informed;</w:t>
      </w:r>
      <w:proofErr w:type="gramEnd"/>
    </w:p>
    <w:p w14:paraId="61F1B107" w14:textId="77777777" w:rsidR="007466FB" w:rsidRPr="00114B22" w:rsidRDefault="007466FB" w:rsidP="007466FB">
      <w:pPr>
        <w:pStyle w:val="ListParagraph"/>
        <w:numPr>
          <w:ilvl w:val="0"/>
          <w:numId w:val="16"/>
        </w:numPr>
        <w:spacing w:after="0" w:line="240" w:lineRule="auto"/>
        <w:jc w:val="both"/>
        <w:rPr>
          <w:rFonts w:ascii="Oriya MN" w:hAnsi="Oriya MN" w:cs="Oriya MN"/>
          <w:color w:val="00240C"/>
        </w:rPr>
      </w:pPr>
      <w:r w:rsidRPr="00114B22">
        <w:rPr>
          <w:rFonts w:ascii="Oriya MN" w:hAnsi="Oriya MN" w:cs="Oriya MN"/>
          <w:color w:val="00240C"/>
        </w:rPr>
        <w:t>The right to be forgotten</w:t>
      </w:r>
    </w:p>
    <w:p w14:paraId="1021564D" w14:textId="77777777" w:rsidR="007466FB" w:rsidRPr="00114B22" w:rsidRDefault="007466FB" w:rsidP="007466FB">
      <w:pPr>
        <w:pStyle w:val="ListParagraph"/>
        <w:numPr>
          <w:ilvl w:val="0"/>
          <w:numId w:val="16"/>
        </w:numPr>
        <w:spacing w:after="0" w:line="240" w:lineRule="auto"/>
        <w:jc w:val="both"/>
        <w:rPr>
          <w:rFonts w:ascii="Oriya MN" w:hAnsi="Oriya MN" w:cs="Oriya MN"/>
          <w:color w:val="00240C"/>
        </w:rPr>
      </w:pPr>
      <w:r w:rsidRPr="00114B22">
        <w:rPr>
          <w:rFonts w:ascii="Oriya MN" w:hAnsi="Oriya MN" w:cs="Oriya MN"/>
          <w:color w:val="00240C"/>
        </w:rPr>
        <w:t>The right of access</w:t>
      </w:r>
    </w:p>
    <w:p w14:paraId="69F88C01" w14:textId="77777777" w:rsidR="007466FB" w:rsidRPr="00114B22" w:rsidRDefault="007466FB" w:rsidP="007466FB">
      <w:pPr>
        <w:pStyle w:val="ListParagraph"/>
        <w:numPr>
          <w:ilvl w:val="0"/>
          <w:numId w:val="16"/>
        </w:numPr>
        <w:spacing w:after="0" w:line="240" w:lineRule="auto"/>
        <w:jc w:val="both"/>
        <w:rPr>
          <w:rFonts w:ascii="Oriya MN" w:hAnsi="Oriya MN" w:cs="Oriya MN"/>
          <w:color w:val="00240C"/>
        </w:rPr>
      </w:pPr>
      <w:r w:rsidRPr="00114B22">
        <w:rPr>
          <w:rFonts w:ascii="Oriya MN" w:hAnsi="Oriya MN" w:cs="Oriya MN"/>
          <w:color w:val="00240C"/>
        </w:rPr>
        <w:t xml:space="preserve">The right to restrict </w:t>
      </w:r>
      <w:proofErr w:type="gramStart"/>
      <w:r w:rsidRPr="00114B22">
        <w:rPr>
          <w:rFonts w:ascii="Oriya MN" w:hAnsi="Oriya MN" w:cs="Oriya MN"/>
          <w:color w:val="00240C"/>
        </w:rPr>
        <w:t>processing;</w:t>
      </w:r>
      <w:proofErr w:type="gramEnd"/>
    </w:p>
    <w:p w14:paraId="7F1FFFDD" w14:textId="77777777" w:rsidR="007466FB" w:rsidRPr="00114B22" w:rsidRDefault="007466FB" w:rsidP="007466FB">
      <w:pPr>
        <w:pStyle w:val="ListParagraph"/>
        <w:numPr>
          <w:ilvl w:val="0"/>
          <w:numId w:val="16"/>
        </w:numPr>
        <w:spacing w:after="0" w:line="240" w:lineRule="auto"/>
        <w:jc w:val="both"/>
        <w:rPr>
          <w:rFonts w:ascii="Oriya MN" w:hAnsi="Oriya MN" w:cs="Oriya MN"/>
          <w:color w:val="00240C"/>
        </w:rPr>
      </w:pPr>
      <w:r w:rsidRPr="00114B22">
        <w:rPr>
          <w:rFonts w:ascii="Oriya MN" w:hAnsi="Oriya MN" w:cs="Oriya MN"/>
          <w:color w:val="00240C"/>
        </w:rPr>
        <w:t>The right to object; and</w:t>
      </w:r>
    </w:p>
    <w:p w14:paraId="09A7CB02" w14:textId="77777777" w:rsidR="007466FB" w:rsidRPr="00114B22" w:rsidRDefault="007466FB" w:rsidP="007466FB">
      <w:pPr>
        <w:pStyle w:val="ListParagraph"/>
        <w:numPr>
          <w:ilvl w:val="0"/>
          <w:numId w:val="16"/>
        </w:numPr>
        <w:spacing w:after="0" w:line="240" w:lineRule="auto"/>
        <w:jc w:val="both"/>
        <w:rPr>
          <w:rFonts w:ascii="Oriya MN" w:hAnsi="Oriya MN" w:cs="Oriya MN"/>
          <w:color w:val="00240C"/>
        </w:rPr>
      </w:pPr>
      <w:r w:rsidRPr="00114B22">
        <w:rPr>
          <w:rFonts w:ascii="Oriya MN" w:hAnsi="Oriya MN" w:cs="Oriya MN"/>
          <w:color w:val="00240C"/>
        </w:rPr>
        <w:t>Complying with the principles.</w:t>
      </w:r>
    </w:p>
    <w:p w14:paraId="0523B9D0" w14:textId="77777777" w:rsidR="007466FB" w:rsidRPr="00114B22" w:rsidRDefault="007466FB" w:rsidP="007466FB">
      <w:pPr>
        <w:spacing w:after="0" w:line="240" w:lineRule="auto"/>
        <w:contextualSpacing/>
        <w:jc w:val="both"/>
        <w:rPr>
          <w:rFonts w:ascii="Oriya MN" w:hAnsi="Oriya MN" w:cs="Oriya MN"/>
          <w:b/>
          <w:bCs/>
          <w:color w:val="00240C"/>
        </w:rPr>
      </w:pPr>
    </w:p>
    <w:p w14:paraId="469C08E0" w14:textId="77777777" w:rsidR="007466FB" w:rsidRPr="00114B22" w:rsidRDefault="007466FB" w:rsidP="007466FB">
      <w:pPr>
        <w:spacing w:after="0" w:line="240" w:lineRule="auto"/>
        <w:contextualSpacing/>
        <w:jc w:val="both"/>
        <w:rPr>
          <w:rFonts w:ascii="Oriya MN" w:hAnsi="Oriya MN" w:cs="Oriya MN"/>
          <w:b/>
          <w:bCs/>
          <w:color w:val="00240C"/>
        </w:rPr>
      </w:pPr>
      <w:r w:rsidRPr="00114B22">
        <w:rPr>
          <w:rFonts w:ascii="Oriya MN" w:hAnsi="Oriya MN" w:cs="Oriya MN"/>
          <w:b/>
          <w:bCs/>
          <w:color w:val="00240C"/>
        </w:rPr>
        <w:t>DPA 2018 Schedule One, Part 2; Section 18 – Safeguarding of children and of individuals at risk</w:t>
      </w:r>
    </w:p>
    <w:p w14:paraId="6B0D4892" w14:textId="77777777"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 xml:space="preserve">When working with you where possible I seek to process data with your Explicit Consent in accordance with the GDPR Article 7. However, when this is not possible and I have a professional or legal obligation to protect you or someone else from harm, I </w:t>
      </w:r>
      <w:r w:rsidRPr="00114B22">
        <w:rPr>
          <w:rFonts w:ascii="Oriya MN" w:hAnsi="Oriya MN" w:cs="Oriya MN"/>
          <w:color w:val="00240C"/>
        </w:rPr>
        <w:lastRenderedPageBreak/>
        <w:t xml:space="preserve">can apply a condition known as the DPA 2018 Schedule One Part 2 Section 18 to safeguard either children or adults at risk. </w:t>
      </w:r>
    </w:p>
    <w:p w14:paraId="77A60903" w14:textId="77777777" w:rsidR="007466FB" w:rsidRPr="00114B22" w:rsidRDefault="007466FB" w:rsidP="007466FB">
      <w:pPr>
        <w:spacing w:after="0" w:line="240" w:lineRule="auto"/>
        <w:contextualSpacing/>
        <w:jc w:val="both"/>
        <w:rPr>
          <w:rFonts w:ascii="Oriya MN" w:hAnsi="Oriya MN" w:cs="Oriya MN"/>
          <w:color w:val="00240C"/>
        </w:rPr>
      </w:pPr>
    </w:p>
    <w:p w14:paraId="37B4C196" w14:textId="77777777" w:rsidR="007466FB" w:rsidRPr="00114B22" w:rsidRDefault="007466FB" w:rsidP="007466FB">
      <w:pPr>
        <w:pStyle w:val="ListParagraph"/>
        <w:numPr>
          <w:ilvl w:val="0"/>
          <w:numId w:val="14"/>
        </w:numPr>
        <w:spacing w:after="0" w:line="240" w:lineRule="auto"/>
        <w:ind w:left="0" w:firstLine="0"/>
        <w:jc w:val="both"/>
        <w:rPr>
          <w:rFonts w:ascii="Oriya MN" w:hAnsi="Oriya MN" w:cs="Oriya MN"/>
          <w:b/>
          <w:bCs/>
          <w:color w:val="00240C"/>
        </w:rPr>
      </w:pPr>
      <w:r w:rsidRPr="00114B22">
        <w:rPr>
          <w:rFonts w:ascii="Oriya MN" w:hAnsi="Oriya MN" w:cs="Oriya MN"/>
          <w:b/>
          <w:bCs/>
          <w:color w:val="00240C"/>
        </w:rPr>
        <w:t xml:space="preserve">Justification for processing data using an exemption </w:t>
      </w:r>
    </w:p>
    <w:p w14:paraId="2B0CFB42" w14:textId="77777777" w:rsidR="008A5952" w:rsidRPr="00114B22" w:rsidRDefault="008A5952" w:rsidP="007466FB">
      <w:pPr>
        <w:spacing w:after="0" w:line="240" w:lineRule="auto"/>
        <w:contextualSpacing/>
        <w:jc w:val="both"/>
        <w:rPr>
          <w:rFonts w:ascii="Oriya MN" w:hAnsi="Oriya MN" w:cs="Oriya MN"/>
          <w:color w:val="00240C"/>
        </w:rPr>
      </w:pPr>
    </w:p>
    <w:p w14:paraId="2C7356F5" w14:textId="7BA95ACA"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 xml:space="preserve">There are two situations in which I can apply the DPA 2018 Schedule One Part 2 Section 18. </w:t>
      </w:r>
    </w:p>
    <w:p w14:paraId="5FDBC912" w14:textId="77777777" w:rsidR="007466FB" w:rsidRPr="00114B22" w:rsidRDefault="007466FB" w:rsidP="007466FB">
      <w:pPr>
        <w:spacing w:after="0" w:line="240" w:lineRule="auto"/>
        <w:contextualSpacing/>
        <w:jc w:val="both"/>
        <w:rPr>
          <w:rFonts w:ascii="Oriya MN" w:hAnsi="Oriya MN" w:cs="Oriya MN"/>
          <w:color w:val="00240C"/>
        </w:rPr>
      </w:pPr>
    </w:p>
    <w:p w14:paraId="0DBDB01A" w14:textId="77777777"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 xml:space="preserve">Reason 1: </w:t>
      </w:r>
    </w:p>
    <w:p w14:paraId="411992E3" w14:textId="77777777"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Section 18(1)(b)(</w:t>
      </w:r>
      <w:proofErr w:type="spellStart"/>
      <w:r w:rsidRPr="00114B22">
        <w:rPr>
          <w:rFonts w:ascii="Oriya MN" w:hAnsi="Oriya MN" w:cs="Oriya MN"/>
          <w:color w:val="00240C"/>
        </w:rPr>
        <w:t>i</w:t>
      </w:r>
      <w:proofErr w:type="spellEnd"/>
      <w:r w:rsidRPr="00114B22">
        <w:rPr>
          <w:rFonts w:ascii="Oriya MN" w:hAnsi="Oriya MN" w:cs="Oriya MN"/>
          <w:color w:val="00240C"/>
        </w:rPr>
        <w:t xml:space="preserve">)(ii) sates that I can use your personal information without your consent when either:  </w:t>
      </w:r>
    </w:p>
    <w:p w14:paraId="0D24E636" w14:textId="77777777" w:rsidR="007466FB" w:rsidRPr="00114B22" w:rsidRDefault="007466FB" w:rsidP="007466FB">
      <w:pPr>
        <w:pStyle w:val="ListParagraph"/>
        <w:numPr>
          <w:ilvl w:val="0"/>
          <w:numId w:val="15"/>
        </w:numPr>
        <w:spacing w:after="0" w:line="240" w:lineRule="auto"/>
        <w:jc w:val="both"/>
        <w:rPr>
          <w:rFonts w:ascii="Oriya MN" w:hAnsi="Oriya MN" w:cs="Oriya MN"/>
          <w:color w:val="00240C"/>
        </w:rPr>
      </w:pPr>
      <w:r w:rsidRPr="00114B22">
        <w:rPr>
          <w:rFonts w:ascii="Oriya MN" w:hAnsi="Oriya MN" w:cs="Oriya MN"/>
          <w:color w:val="00240C"/>
        </w:rPr>
        <w:t>In the circumstances consent to the processing cannot be given by the data subject.</w:t>
      </w:r>
    </w:p>
    <w:p w14:paraId="5BA04DA1" w14:textId="77777777" w:rsidR="007466FB" w:rsidRPr="00114B22" w:rsidRDefault="007466FB" w:rsidP="007466FB">
      <w:pPr>
        <w:pStyle w:val="ListParagraph"/>
        <w:numPr>
          <w:ilvl w:val="0"/>
          <w:numId w:val="15"/>
        </w:numPr>
        <w:spacing w:after="0" w:line="240" w:lineRule="auto"/>
        <w:jc w:val="both"/>
        <w:rPr>
          <w:rFonts w:ascii="Oriya MN" w:hAnsi="Oriya MN" w:cs="Oriya MN"/>
          <w:color w:val="00240C"/>
        </w:rPr>
      </w:pPr>
      <w:r w:rsidRPr="00114B22">
        <w:rPr>
          <w:rFonts w:ascii="Oriya MN" w:hAnsi="Oriya MN" w:cs="Oriya MN"/>
          <w:color w:val="00240C"/>
        </w:rPr>
        <w:t xml:space="preserve">The controller </w:t>
      </w:r>
      <w:proofErr w:type="gramStart"/>
      <w:r w:rsidRPr="00114B22">
        <w:rPr>
          <w:rFonts w:ascii="Oriya MN" w:hAnsi="Oriya MN" w:cs="Oriya MN"/>
          <w:color w:val="00240C"/>
        </w:rPr>
        <w:t>i.e.</w:t>
      </w:r>
      <w:proofErr w:type="gramEnd"/>
      <w:r w:rsidRPr="00114B22">
        <w:rPr>
          <w:rFonts w:ascii="Oriya MN" w:hAnsi="Oriya MN" w:cs="Oriya MN"/>
          <w:color w:val="00240C"/>
        </w:rPr>
        <w:t xml:space="preserve"> therapist, cannot reasonably be expected to obtain the consent of the data subject to the processing, and the processing must be carried out without the consent of the data subject because obtaining the consent of the data subject would prejudice the provision of the protection being provided.</w:t>
      </w:r>
    </w:p>
    <w:p w14:paraId="2FCEF32E" w14:textId="77777777" w:rsidR="007466FB" w:rsidRPr="00114B22" w:rsidRDefault="007466FB" w:rsidP="007466FB">
      <w:pPr>
        <w:pStyle w:val="ListParagraph"/>
        <w:numPr>
          <w:ilvl w:val="0"/>
          <w:numId w:val="15"/>
        </w:numPr>
        <w:spacing w:after="0" w:line="240" w:lineRule="auto"/>
        <w:jc w:val="both"/>
        <w:rPr>
          <w:rFonts w:ascii="Oriya MN" w:hAnsi="Oriya MN" w:cs="Oriya MN"/>
          <w:color w:val="00240C"/>
        </w:rPr>
      </w:pPr>
      <w:r w:rsidRPr="00114B22">
        <w:rPr>
          <w:rFonts w:ascii="Oriya MN" w:hAnsi="Oriya MN" w:cs="Oriya MN"/>
          <w:color w:val="00240C"/>
        </w:rPr>
        <w:t>The processing is necessary for reasons of substantial public interest.</w:t>
      </w:r>
    </w:p>
    <w:p w14:paraId="3153EF73" w14:textId="77777777" w:rsidR="007466FB" w:rsidRPr="00114B22" w:rsidRDefault="007466FB" w:rsidP="007466FB">
      <w:pPr>
        <w:spacing w:after="0" w:line="240" w:lineRule="auto"/>
        <w:contextualSpacing/>
        <w:jc w:val="both"/>
        <w:rPr>
          <w:rFonts w:ascii="Oriya MN" w:hAnsi="Oriya MN" w:cs="Oriya MN"/>
          <w:color w:val="00240C"/>
        </w:rPr>
      </w:pPr>
    </w:p>
    <w:p w14:paraId="7C15CA0B" w14:textId="77777777"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 xml:space="preserve">Reason 2: </w:t>
      </w:r>
    </w:p>
    <w:p w14:paraId="6AF4FBD5" w14:textId="77777777"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 xml:space="preserve">When the controller </w:t>
      </w:r>
      <w:proofErr w:type="gramStart"/>
      <w:r w:rsidRPr="00114B22">
        <w:rPr>
          <w:rFonts w:ascii="Oriya MN" w:hAnsi="Oriya MN" w:cs="Oriya MN"/>
          <w:color w:val="00240C"/>
        </w:rPr>
        <w:t>i.e.</w:t>
      </w:r>
      <w:proofErr w:type="gramEnd"/>
      <w:r w:rsidRPr="00114B22">
        <w:rPr>
          <w:rFonts w:ascii="Oriya MN" w:hAnsi="Oriya MN" w:cs="Oriya MN"/>
          <w:color w:val="00240C"/>
        </w:rPr>
        <w:t xml:space="preserve"> therapist, has reasonable cause to suspect that the individual or a third party is experiencing, or at risk of, neglect or physical, mental or emotional harm, and as a result is unable to protect himself or herself against the neglect or harm or the risk of it.</w:t>
      </w:r>
    </w:p>
    <w:p w14:paraId="536E13B0" w14:textId="77777777" w:rsidR="007466FB" w:rsidRPr="00114B22" w:rsidRDefault="007466FB" w:rsidP="007466FB">
      <w:pPr>
        <w:spacing w:after="0" w:line="240" w:lineRule="auto"/>
        <w:contextualSpacing/>
        <w:jc w:val="both"/>
        <w:rPr>
          <w:rFonts w:ascii="Oriya MN" w:hAnsi="Oriya MN" w:cs="Oriya MN"/>
          <w:b/>
          <w:color w:val="00240C"/>
        </w:rPr>
      </w:pPr>
    </w:p>
    <w:p w14:paraId="40F623C6" w14:textId="159CB24C" w:rsidR="007466FB" w:rsidRPr="00114B22" w:rsidRDefault="007466FB" w:rsidP="007466FB">
      <w:pPr>
        <w:spacing w:after="0" w:line="240" w:lineRule="auto"/>
        <w:contextualSpacing/>
        <w:jc w:val="both"/>
        <w:rPr>
          <w:rFonts w:ascii="Oriya MN" w:hAnsi="Oriya MN" w:cs="Oriya MN"/>
          <w:b/>
          <w:color w:val="00240C"/>
        </w:rPr>
      </w:pPr>
      <w:r w:rsidRPr="00E27C15">
        <w:rPr>
          <w:rFonts w:ascii="Oriya MN" w:hAnsi="Oriya MN" w:cs="Oriya MN"/>
          <w:b/>
          <w:color w:val="00240C"/>
        </w:rPr>
        <w:t>This policy signed by:</w:t>
      </w:r>
    </w:p>
    <w:p w14:paraId="3770C103" w14:textId="77777777" w:rsidR="008A5952" w:rsidRPr="00114B22" w:rsidRDefault="008A5952" w:rsidP="007466FB">
      <w:pPr>
        <w:spacing w:after="0" w:line="240" w:lineRule="auto"/>
        <w:contextualSpacing/>
        <w:jc w:val="both"/>
        <w:rPr>
          <w:rFonts w:ascii="Oriya MN" w:hAnsi="Oriya MN" w:cs="Oriya MN"/>
          <w:b/>
          <w:color w:val="00240C"/>
        </w:rPr>
      </w:pPr>
    </w:p>
    <w:p w14:paraId="3DC73ECB" w14:textId="64839E86"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Name</w:t>
      </w:r>
      <w:r w:rsidR="00E27C15">
        <w:rPr>
          <w:rFonts w:ascii="Oriya MN" w:hAnsi="Oriya MN" w:cs="Oriya MN"/>
          <w:color w:val="00240C"/>
        </w:rPr>
        <w:t xml:space="preserve"> Dr Liza Messing </w:t>
      </w:r>
    </w:p>
    <w:p w14:paraId="1FC0BFC0" w14:textId="7F67D214" w:rsidR="007466FB" w:rsidRPr="00114B22" w:rsidRDefault="007466FB" w:rsidP="007466FB">
      <w:pPr>
        <w:spacing w:after="0" w:line="240" w:lineRule="auto"/>
        <w:contextualSpacing/>
        <w:jc w:val="both"/>
        <w:rPr>
          <w:rFonts w:ascii="Oriya MN" w:hAnsi="Oriya MN" w:cs="Oriya MN"/>
          <w:color w:val="00240C"/>
        </w:rPr>
      </w:pPr>
      <w:r w:rsidRPr="00114B22">
        <w:rPr>
          <w:rFonts w:ascii="Oriya MN" w:hAnsi="Oriya MN" w:cs="Oriya MN"/>
          <w:color w:val="00240C"/>
        </w:rPr>
        <w:t>Position</w:t>
      </w:r>
      <w:r w:rsidR="00E27C15">
        <w:rPr>
          <w:rFonts w:ascii="Oriya MN" w:hAnsi="Oriya MN" w:cs="Oriya MN"/>
          <w:color w:val="00240C"/>
        </w:rPr>
        <w:t xml:space="preserve"> Clinical Director </w:t>
      </w:r>
    </w:p>
    <w:p w14:paraId="4088DF99" w14:textId="1B27C6DE" w:rsidR="007466FB" w:rsidRPr="00114B22" w:rsidRDefault="007466FB" w:rsidP="007466FB">
      <w:pPr>
        <w:jc w:val="both"/>
        <w:rPr>
          <w:rFonts w:ascii="Oriya MN" w:hAnsi="Oriya MN" w:cs="Oriya MN"/>
          <w:color w:val="00240C"/>
        </w:rPr>
      </w:pPr>
      <w:r w:rsidRPr="00114B22">
        <w:rPr>
          <w:rFonts w:ascii="Oriya MN" w:hAnsi="Oriya MN" w:cs="Oriya MN"/>
          <w:color w:val="00240C"/>
        </w:rPr>
        <w:t>Date</w:t>
      </w:r>
      <w:r w:rsidR="00E27C15">
        <w:rPr>
          <w:rFonts w:ascii="Oriya MN" w:hAnsi="Oriya MN" w:cs="Oriya MN"/>
          <w:color w:val="00240C"/>
        </w:rPr>
        <w:t xml:space="preserve"> August 2023</w:t>
      </w:r>
    </w:p>
    <w:p w14:paraId="5DF6C8EC" w14:textId="392AC403" w:rsidR="007466FB" w:rsidRPr="00114B22" w:rsidRDefault="007466FB" w:rsidP="007466FB">
      <w:pPr>
        <w:jc w:val="both"/>
        <w:rPr>
          <w:rFonts w:ascii="Oriya MN" w:hAnsi="Oriya MN" w:cs="Oriya MN"/>
          <w:b/>
          <w:color w:val="00240C"/>
        </w:rPr>
      </w:pPr>
      <w:r w:rsidRPr="00114B22">
        <w:rPr>
          <w:rFonts w:ascii="Oriya MN" w:hAnsi="Oriya MN" w:cs="Oriya MN"/>
          <w:b/>
          <w:color w:val="00240C"/>
        </w:rPr>
        <w:t xml:space="preserve">Review Date:  </w:t>
      </w:r>
      <w:r w:rsidR="00E27C15">
        <w:rPr>
          <w:rFonts w:ascii="Oriya MN" w:hAnsi="Oriya MN" w:cs="Oriya MN"/>
          <w:b/>
          <w:color w:val="00240C"/>
        </w:rPr>
        <w:t xml:space="preserve">August </w:t>
      </w:r>
      <w:r w:rsidR="008A5952" w:rsidRPr="00114B22">
        <w:rPr>
          <w:rFonts w:ascii="Oriya MN" w:hAnsi="Oriya MN" w:cs="Oriya MN"/>
          <w:b/>
          <w:color w:val="00240C"/>
        </w:rPr>
        <w:t>202</w:t>
      </w:r>
      <w:r w:rsidR="00E27C15">
        <w:rPr>
          <w:rFonts w:ascii="Oriya MN" w:hAnsi="Oriya MN" w:cs="Oriya MN"/>
          <w:b/>
          <w:color w:val="00240C"/>
        </w:rPr>
        <w:t>5</w:t>
      </w:r>
    </w:p>
    <w:p w14:paraId="5F86E57E" w14:textId="6B519A7A" w:rsidR="007466FB" w:rsidRPr="00114B22" w:rsidRDefault="007466FB" w:rsidP="007466FB">
      <w:pPr>
        <w:rPr>
          <w:rFonts w:ascii="Oriya MN" w:hAnsi="Oriya MN" w:cs="Oriya MN"/>
          <w:b/>
          <w:color w:val="00240C"/>
        </w:rPr>
      </w:pPr>
    </w:p>
    <w:sectPr w:rsidR="007466FB" w:rsidRPr="00114B22">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BC775" w14:textId="77777777" w:rsidR="00E73F79" w:rsidRDefault="00E73F79" w:rsidP="001F75CB">
      <w:pPr>
        <w:spacing w:after="0" w:line="240" w:lineRule="auto"/>
      </w:pPr>
      <w:r>
        <w:separator/>
      </w:r>
    </w:p>
  </w:endnote>
  <w:endnote w:type="continuationSeparator" w:id="0">
    <w:p w14:paraId="40B5A4D7" w14:textId="77777777" w:rsidR="00E73F79" w:rsidRDefault="00E73F79" w:rsidP="001F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EUAlbertina">
    <w:altName w:val="EU Albertina"/>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Oriya MN">
    <w:panose1 w:val="00000500000000000000"/>
    <w:charset w:val="00"/>
    <w:family w:val="auto"/>
    <w:pitch w:val="variable"/>
    <w:sig w:usb0="00080003" w:usb1="00000000" w:usb2="00000000" w:usb3="00000000" w:csb0="00000001" w:csb1="00000000"/>
  </w:font>
  <w:font w:name="Bodoni MT">
    <w:panose1 w:val="02070603080606020203"/>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981271"/>
      <w:docPartObj>
        <w:docPartGallery w:val="Page Numbers (Bottom of Page)"/>
        <w:docPartUnique/>
      </w:docPartObj>
    </w:sdtPr>
    <w:sdtContent>
      <w:p w14:paraId="4FE1A258" w14:textId="7C6B85D9" w:rsidR="00114B22" w:rsidRDefault="00114B22" w:rsidP="00B0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FAF3B" w14:textId="77777777" w:rsidR="00114B22" w:rsidRDefault="00114B22" w:rsidP="00114B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9009664"/>
      <w:docPartObj>
        <w:docPartGallery w:val="Page Numbers (Bottom of Page)"/>
        <w:docPartUnique/>
      </w:docPartObj>
    </w:sdtPr>
    <w:sdtContent>
      <w:p w14:paraId="21BA9C72" w14:textId="4D20D624" w:rsidR="00114B22" w:rsidRDefault="00114B22" w:rsidP="00B050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6F9E30" w14:textId="6ECEC1A6" w:rsidR="0019774F" w:rsidRDefault="0019774F" w:rsidP="00114B22">
    <w:pPr>
      <w:pStyle w:val="Footer"/>
      <w:ind w:right="360"/>
    </w:pPr>
    <w:r w:rsidRPr="0019774F">
      <w:t>© Dr</w:t>
    </w:r>
    <w:r w:rsidR="00114B22">
      <w:t xml:space="preserve"> Liza Messing</w:t>
    </w:r>
    <w:r w:rsidRPr="0019774F">
      <w:t xml:space="preserve">, </w:t>
    </w:r>
    <w:r w:rsidR="00CE1F11">
      <w:t xml:space="preserve">GDPR </w:t>
    </w:r>
    <w:r w:rsidR="00A663E0">
      <w:t>appendix</w:t>
    </w:r>
    <w:r w:rsidR="00CE1F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2083" w14:textId="77777777" w:rsidR="00E73F79" w:rsidRDefault="00E73F79" w:rsidP="001F75CB">
      <w:pPr>
        <w:spacing w:after="0" w:line="240" w:lineRule="auto"/>
      </w:pPr>
      <w:r>
        <w:separator/>
      </w:r>
    </w:p>
  </w:footnote>
  <w:footnote w:type="continuationSeparator" w:id="0">
    <w:p w14:paraId="74C323D1" w14:textId="77777777" w:rsidR="00E73F79" w:rsidRDefault="00E73F79" w:rsidP="001F7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8319" w14:textId="5328D680" w:rsidR="001F75CB" w:rsidRDefault="008A5952" w:rsidP="001F75CB">
    <w:pPr>
      <w:pStyle w:val="Header"/>
      <w:jc w:val="center"/>
      <w:rPr>
        <w:rFonts w:ascii="Bodoni MT" w:hAnsi="Bodoni MT"/>
        <w:sz w:val="28"/>
        <w:szCs w:val="28"/>
      </w:rPr>
    </w:pPr>
    <w:r>
      <w:rPr>
        <w:rFonts w:ascii="Bodoni MT" w:hAnsi="Bodoni MT"/>
        <w:noProof/>
        <w:sz w:val="28"/>
        <w:szCs w:val="28"/>
      </w:rPr>
      <w:drawing>
        <wp:inline distT="0" distB="0" distL="0" distR="0" wp14:anchorId="4092726E" wp14:editId="4D3CB48F">
          <wp:extent cx="4189903" cy="1034988"/>
          <wp:effectExtent l="0" t="0" r="1270" b="0"/>
          <wp:docPr id="12" name="Picture 12" descr="file:///Users/admin/Pictures/Photos%20Library.photoslibrary/originals/6/65E4AB31-072B-4755-A9D7-D8E6749F3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le:///Users/admin/Pictures/Photos%20Library.photoslibrary/originals/6/65E4AB31-072B-4755-A9D7-D8E6749F3900.png"/>
                  <pic:cNvPicPr/>
                </pic:nvPicPr>
                <pic:blipFill>
                  <a:blip r:embed="rId1">
                    <a:extLst>
                      <a:ext uri="{28A0092B-C50C-407E-A947-70E740481C1C}">
                        <a14:useLocalDpi xmlns:a14="http://schemas.microsoft.com/office/drawing/2010/main" val="0"/>
                      </a:ext>
                    </a:extLst>
                  </a:blip>
                  <a:stretch>
                    <a:fillRect/>
                  </a:stretch>
                </pic:blipFill>
                <pic:spPr>
                  <a:xfrm>
                    <a:off x="0" y="0"/>
                    <a:ext cx="4363338" cy="1077830"/>
                  </a:xfrm>
                  <a:prstGeom prst="rect">
                    <a:avLst/>
                  </a:prstGeom>
                </pic:spPr>
              </pic:pic>
            </a:graphicData>
          </a:graphic>
        </wp:inline>
      </w:drawing>
    </w:r>
  </w:p>
  <w:p w14:paraId="50909992" w14:textId="77777777" w:rsidR="008A5952" w:rsidRPr="008A5952" w:rsidRDefault="008A5952" w:rsidP="008A5952">
    <w:pPr>
      <w:pStyle w:val="Header"/>
      <w:jc w:val="both"/>
      <w:rPr>
        <w:rFonts w:ascii="Oriya MN" w:hAnsi="Oriya MN" w:cs="Oriya MN"/>
        <w:b/>
      </w:rPr>
    </w:pPr>
  </w:p>
  <w:p w14:paraId="566063F5" w14:textId="4AE799C0" w:rsidR="008A5952" w:rsidRPr="008A5952" w:rsidRDefault="008A5952" w:rsidP="008A5952">
    <w:pPr>
      <w:pStyle w:val="Header"/>
      <w:jc w:val="both"/>
      <w:rPr>
        <w:rFonts w:ascii="Garamond" w:hAnsi="Garamond" w:cs="Oriya MN"/>
        <w:iCs/>
        <w:color w:val="001339"/>
        <w:sz w:val="32"/>
        <w:szCs w:val="32"/>
      </w:rPr>
    </w:pPr>
    <w:r>
      <w:rPr>
        <w:rFonts w:ascii="Garamond" w:hAnsi="Garamond" w:cs="Oriya MN"/>
        <w:iCs/>
        <w:sz w:val="28"/>
      </w:rPr>
      <w:tab/>
    </w:r>
    <w:r w:rsidRPr="008A5952">
      <w:rPr>
        <w:rFonts w:ascii="Garamond" w:hAnsi="Garamond" w:cs="Oriya MN"/>
        <w:iCs/>
        <w:color w:val="001339"/>
        <w:sz w:val="32"/>
        <w:szCs w:val="32"/>
      </w:rPr>
      <w:t>Dr Liza Messing</w:t>
    </w:r>
  </w:p>
  <w:p w14:paraId="60B9BCE5" w14:textId="77777777" w:rsidR="008A5952" w:rsidRPr="00765031" w:rsidRDefault="008A5952" w:rsidP="001F75CB">
    <w:pPr>
      <w:pStyle w:val="Header"/>
      <w:jc w:val="center"/>
      <w:rPr>
        <w:rFonts w:ascii="Bodoni MT" w:hAnsi="Bodoni MT"/>
        <w:sz w:val="28"/>
        <w:szCs w:val="28"/>
      </w:rPr>
    </w:pPr>
  </w:p>
  <w:p w14:paraId="7635831A" w14:textId="77777777" w:rsidR="001F75CB" w:rsidRDefault="001F7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26D"/>
    <w:multiLevelType w:val="hybridMultilevel"/>
    <w:tmpl w:val="89B6A3A2"/>
    <w:lvl w:ilvl="0" w:tplc="A2867B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B144ED"/>
    <w:multiLevelType w:val="hybridMultilevel"/>
    <w:tmpl w:val="DE888B4C"/>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22804"/>
    <w:multiLevelType w:val="hybridMultilevel"/>
    <w:tmpl w:val="6EA04BBA"/>
    <w:lvl w:ilvl="0" w:tplc="0809000F">
      <w:start w:val="1"/>
      <w:numFmt w:val="decimal"/>
      <w:lvlText w:val="%1."/>
      <w:lvlJc w:val="left"/>
      <w:pPr>
        <w:tabs>
          <w:tab w:val="num" w:pos="360"/>
        </w:tabs>
        <w:ind w:left="360" w:hanging="360"/>
      </w:pPr>
      <w:rPr>
        <w:rFonts w:hint="default"/>
      </w:rPr>
    </w:lvl>
    <w:lvl w:ilvl="1" w:tplc="AB1CE814" w:tentative="1">
      <w:start w:val="1"/>
      <w:numFmt w:val="bullet"/>
      <w:lvlText w:val=""/>
      <w:lvlJc w:val="left"/>
      <w:pPr>
        <w:tabs>
          <w:tab w:val="num" w:pos="1080"/>
        </w:tabs>
        <w:ind w:left="1080" w:hanging="360"/>
      </w:pPr>
      <w:rPr>
        <w:rFonts w:ascii="Wingdings" w:hAnsi="Wingdings" w:hint="default"/>
      </w:rPr>
    </w:lvl>
    <w:lvl w:ilvl="2" w:tplc="00146E18" w:tentative="1">
      <w:start w:val="1"/>
      <w:numFmt w:val="bullet"/>
      <w:lvlText w:val=""/>
      <w:lvlJc w:val="left"/>
      <w:pPr>
        <w:tabs>
          <w:tab w:val="num" w:pos="1800"/>
        </w:tabs>
        <w:ind w:left="1800" w:hanging="360"/>
      </w:pPr>
      <w:rPr>
        <w:rFonts w:ascii="Wingdings" w:hAnsi="Wingdings" w:hint="default"/>
      </w:rPr>
    </w:lvl>
    <w:lvl w:ilvl="3" w:tplc="FB3CD11C" w:tentative="1">
      <w:start w:val="1"/>
      <w:numFmt w:val="bullet"/>
      <w:lvlText w:val=""/>
      <w:lvlJc w:val="left"/>
      <w:pPr>
        <w:tabs>
          <w:tab w:val="num" w:pos="2520"/>
        </w:tabs>
        <w:ind w:left="2520" w:hanging="360"/>
      </w:pPr>
      <w:rPr>
        <w:rFonts w:ascii="Wingdings" w:hAnsi="Wingdings" w:hint="default"/>
      </w:rPr>
    </w:lvl>
    <w:lvl w:ilvl="4" w:tplc="DBDC2DC4" w:tentative="1">
      <w:start w:val="1"/>
      <w:numFmt w:val="bullet"/>
      <w:lvlText w:val=""/>
      <w:lvlJc w:val="left"/>
      <w:pPr>
        <w:tabs>
          <w:tab w:val="num" w:pos="3240"/>
        </w:tabs>
        <w:ind w:left="3240" w:hanging="360"/>
      </w:pPr>
      <w:rPr>
        <w:rFonts w:ascii="Wingdings" w:hAnsi="Wingdings" w:hint="default"/>
      </w:rPr>
    </w:lvl>
    <w:lvl w:ilvl="5" w:tplc="09904BC6" w:tentative="1">
      <w:start w:val="1"/>
      <w:numFmt w:val="bullet"/>
      <w:lvlText w:val=""/>
      <w:lvlJc w:val="left"/>
      <w:pPr>
        <w:tabs>
          <w:tab w:val="num" w:pos="3960"/>
        </w:tabs>
        <w:ind w:left="3960" w:hanging="360"/>
      </w:pPr>
      <w:rPr>
        <w:rFonts w:ascii="Wingdings" w:hAnsi="Wingdings" w:hint="default"/>
      </w:rPr>
    </w:lvl>
    <w:lvl w:ilvl="6" w:tplc="5B227B72" w:tentative="1">
      <w:start w:val="1"/>
      <w:numFmt w:val="bullet"/>
      <w:lvlText w:val=""/>
      <w:lvlJc w:val="left"/>
      <w:pPr>
        <w:tabs>
          <w:tab w:val="num" w:pos="4680"/>
        </w:tabs>
        <w:ind w:left="4680" w:hanging="360"/>
      </w:pPr>
      <w:rPr>
        <w:rFonts w:ascii="Wingdings" w:hAnsi="Wingdings" w:hint="default"/>
      </w:rPr>
    </w:lvl>
    <w:lvl w:ilvl="7" w:tplc="443C202A" w:tentative="1">
      <w:start w:val="1"/>
      <w:numFmt w:val="bullet"/>
      <w:lvlText w:val=""/>
      <w:lvlJc w:val="left"/>
      <w:pPr>
        <w:tabs>
          <w:tab w:val="num" w:pos="5400"/>
        </w:tabs>
        <w:ind w:left="5400" w:hanging="360"/>
      </w:pPr>
      <w:rPr>
        <w:rFonts w:ascii="Wingdings" w:hAnsi="Wingdings" w:hint="default"/>
      </w:rPr>
    </w:lvl>
    <w:lvl w:ilvl="8" w:tplc="62F851EE"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322B6F"/>
    <w:multiLevelType w:val="hybridMultilevel"/>
    <w:tmpl w:val="3594C7B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75C74"/>
    <w:multiLevelType w:val="hybridMultilevel"/>
    <w:tmpl w:val="0AEA08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D5224"/>
    <w:multiLevelType w:val="hybridMultilevel"/>
    <w:tmpl w:val="D07CCD70"/>
    <w:lvl w:ilvl="0" w:tplc="5AD03B3A">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55497"/>
    <w:multiLevelType w:val="hybridMultilevel"/>
    <w:tmpl w:val="C6B22B98"/>
    <w:lvl w:ilvl="0" w:tplc="C1D6CC32">
      <w:start w:val="1"/>
      <w:numFmt w:val="bullet"/>
      <w:lvlText w:val=""/>
      <w:lvlJc w:val="left"/>
      <w:pPr>
        <w:tabs>
          <w:tab w:val="num" w:pos="720"/>
        </w:tabs>
        <w:ind w:left="720" w:hanging="360"/>
      </w:pPr>
      <w:rPr>
        <w:rFonts w:ascii="Wingdings" w:hAnsi="Wingdings" w:hint="default"/>
      </w:rPr>
    </w:lvl>
    <w:lvl w:ilvl="1" w:tplc="51664D44" w:tentative="1">
      <w:start w:val="1"/>
      <w:numFmt w:val="bullet"/>
      <w:lvlText w:val=""/>
      <w:lvlJc w:val="left"/>
      <w:pPr>
        <w:tabs>
          <w:tab w:val="num" w:pos="1440"/>
        </w:tabs>
        <w:ind w:left="1440" w:hanging="360"/>
      </w:pPr>
      <w:rPr>
        <w:rFonts w:ascii="Wingdings" w:hAnsi="Wingdings" w:hint="default"/>
      </w:rPr>
    </w:lvl>
    <w:lvl w:ilvl="2" w:tplc="9F38D576" w:tentative="1">
      <w:start w:val="1"/>
      <w:numFmt w:val="bullet"/>
      <w:lvlText w:val=""/>
      <w:lvlJc w:val="left"/>
      <w:pPr>
        <w:tabs>
          <w:tab w:val="num" w:pos="2160"/>
        </w:tabs>
        <w:ind w:left="2160" w:hanging="360"/>
      </w:pPr>
      <w:rPr>
        <w:rFonts w:ascii="Wingdings" w:hAnsi="Wingdings" w:hint="default"/>
      </w:rPr>
    </w:lvl>
    <w:lvl w:ilvl="3" w:tplc="9CF618E8" w:tentative="1">
      <w:start w:val="1"/>
      <w:numFmt w:val="bullet"/>
      <w:lvlText w:val=""/>
      <w:lvlJc w:val="left"/>
      <w:pPr>
        <w:tabs>
          <w:tab w:val="num" w:pos="2880"/>
        </w:tabs>
        <w:ind w:left="2880" w:hanging="360"/>
      </w:pPr>
      <w:rPr>
        <w:rFonts w:ascii="Wingdings" w:hAnsi="Wingdings" w:hint="default"/>
      </w:rPr>
    </w:lvl>
    <w:lvl w:ilvl="4" w:tplc="DA1E5BF4" w:tentative="1">
      <w:start w:val="1"/>
      <w:numFmt w:val="bullet"/>
      <w:lvlText w:val=""/>
      <w:lvlJc w:val="left"/>
      <w:pPr>
        <w:tabs>
          <w:tab w:val="num" w:pos="3600"/>
        </w:tabs>
        <w:ind w:left="3600" w:hanging="360"/>
      </w:pPr>
      <w:rPr>
        <w:rFonts w:ascii="Wingdings" w:hAnsi="Wingdings" w:hint="default"/>
      </w:rPr>
    </w:lvl>
    <w:lvl w:ilvl="5" w:tplc="316457C4" w:tentative="1">
      <w:start w:val="1"/>
      <w:numFmt w:val="bullet"/>
      <w:lvlText w:val=""/>
      <w:lvlJc w:val="left"/>
      <w:pPr>
        <w:tabs>
          <w:tab w:val="num" w:pos="4320"/>
        </w:tabs>
        <w:ind w:left="4320" w:hanging="360"/>
      </w:pPr>
      <w:rPr>
        <w:rFonts w:ascii="Wingdings" w:hAnsi="Wingdings" w:hint="default"/>
      </w:rPr>
    </w:lvl>
    <w:lvl w:ilvl="6" w:tplc="8E3E8D32" w:tentative="1">
      <w:start w:val="1"/>
      <w:numFmt w:val="bullet"/>
      <w:lvlText w:val=""/>
      <w:lvlJc w:val="left"/>
      <w:pPr>
        <w:tabs>
          <w:tab w:val="num" w:pos="5040"/>
        </w:tabs>
        <w:ind w:left="5040" w:hanging="360"/>
      </w:pPr>
      <w:rPr>
        <w:rFonts w:ascii="Wingdings" w:hAnsi="Wingdings" w:hint="default"/>
      </w:rPr>
    </w:lvl>
    <w:lvl w:ilvl="7" w:tplc="19985070" w:tentative="1">
      <w:start w:val="1"/>
      <w:numFmt w:val="bullet"/>
      <w:lvlText w:val=""/>
      <w:lvlJc w:val="left"/>
      <w:pPr>
        <w:tabs>
          <w:tab w:val="num" w:pos="5760"/>
        </w:tabs>
        <w:ind w:left="5760" w:hanging="360"/>
      </w:pPr>
      <w:rPr>
        <w:rFonts w:ascii="Wingdings" w:hAnsi="Wingdings" w:hint="default"/>
      </w:rPr>
    </w:lvl>
    <w:lvl w:ilvl="8" w:tplc="420AD1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D95AB8"/>
    <w:multiLevelType w:val="hybridMultilevel"/>
    <w:tmpl w:val="01AC780E"/>
    <w:lvl w:ilvl="0" w:tplc="34C24848">
      <w:start w:val="1"/>
      <w:numFmt w:val="decimal"/>
      <w:lvlText w:val="%1."/>
      <w:lvlJc w:val="left"/>
      <w:pPr>
        <w:ind w:left="643" w:hanging="360"/>
      </w:pPr>
      <w:rPr>
        <w:rFonts w:hint="default"/>
        <w:b/>
        <w:color w:val="auto"/>
        <w:sz w:val="21"/>
        <w:szCs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217D80"/>
    <w:multiLevelType w:val="hybridMultilevel"/>
    <w:tmpl w:val="B612826E"/>
    <w:lvl w:ilvl="0" w:tplc="4172FF3E">
      <w:start w:val="1"/>
      <w:numFmt w:val="decimal"/>
      <w:lvlText w:val="%1."/>
      <w:lvlJc w:val="left"/>
      <w:pPr>
        <w:tabs>
          <w:tab w:val="num" w:pos="720"/>
        </w:tabs>
        <w:ind w:left="720" w:hanging="360"/>
      </w:pPr>
    </w:lvl>
    <w:lvl w:ilvl="1" w:tplc="892CEBEC" w:tentative="1">
      <w:start w:val="1"/>
      <w:numFmt w:val="decimal"/>
      <w:lvlText w:val="%2."/>
      <w:lvlJc w:val="left"/>
      <w:pPr>
        <w:tabs>
          <w:tab w:val="num" w:pos="1440"/>
        </w:tabs>
        <w:ind w:left="1440" w:hanging="360"/>
      </w:pPr>
    </w:lvl>
    <w:lvl w:ilvl="2" w:tplc="6614A18A" w:tentative="1">
      <w:start w:val="1"/>
      <w:numFmt w:val="decimal"/>
      <w:lvlText w:val="%3."/>
      <w:lvlJc w:val="left"/>
      <w:pPr>
        <w:tabs>
          <w:tab w:val="num" w:pos="2160"/>
        </w:tabs>
        <w:ind w:left="2160" w:hanging="360"/>
      </w:pPr>
    </w:lvl>
    <w:lvl w:ilvl="3" w:tplc="D17866D8" w:tentative="1">
      <w:start w:val="1"/>
      <w:numFmt w:val="decimal"/>
      <w:lvlText w:val="%4."/>
      <w:lvlJc w:val="left"/>
      <w:pPr>
        <w:tabs>
          <w:tab w:val="num" w:pos="2880"/>
        </w:tabs>
        <w:ind w:left="2880" w:hanging="360"/>
      </w:pPr>
    </w:lvl>
    <w:lvl w:ilvl="4" w:tplc="ECAE5BEA" w:tentative="1">
      <w:start w:val="1"/>
      <w:numFmt w:val="decimal"/>
      <w:lvlText w:val="%5."/>
      <w:lvlJc w:val="left"/>
      <w:pPr>
        <w:tabs>
          <w:tab w:val="num" w:pos="3600"/>
        </w:tabs>
        <w:ind w:left="3600" w:hanging="360"/>
      </w:pPr>
    </w:lvl>
    <w:lvl w:ilvl="5" w:tplc="B5DA0620" w:tentative="1">
      <w:start w:val="1"/>
      <w:numFmt w:val="decimal"/>
      <w:lvlText w:val="%6."/>
      <w:lvlJc w:val="left"/>
      <w:pPr>
        <w:tabs>
          <w:tab w:val="num" w:pos="4320"/>
        </w:tabs>
        <w:ind w:left="4320" w:hanging="360"/>
      </w:pPr>
    </w:lvl>
    <w:lvl w:ilvl="6" w:tplc="465237A4" w:tentative="1">
      <w:start w:val="1"/>
      <w:numFmt w:val="decimal"/>
      <w:lvlText w:val="%7."/>
      <w:lvlJc w:val="left"/>
      <w:pPr>
        <w:tabs>
          <w:tab w:val="num" w:pos="5040"/>
        </w:tabs>
        <w:ind w:left="5040" w:hanging="360"/>
      </w:pPr>
    </w:lvl>
    <w:lvl w:ilvl="7" w:tplc="1B028A96" w:tentative="1">
      <w:start w:val="1"/>
      <w:numFmt w:val="decimal"/>
      <w:lvlText w:val="%8."/>
      <w:lvlJc w:val="left"/>
      <w:pPr>
        <w:tabs>
          <w:tab w:val="num" w:pos="5760"/>
        </w:tabs>
        <w:ind w:left="5760" w:hanging="360"/>
      </w:pPr>
    </w:lvl>
    <w:lvl w:ilvl="8" w:tplc="2FA2AFB4" w:tentative="1">
      <w:start w:val="1"/>
      <w:numFmt w:val="decimal"/>
      <w:lvlText w:val="%9."/>
      <w:lvlJc w:val="left"/>
      <w:pPr>
        <w:tabs>
          <w:tab w:val="num" w:pos="6480"/>
        </w:tabs>
        <w:ind w:left="6480" w:hanging="360"/>
      </w:pPr>
    </w:lvl>
  </w:abstractNum>
  <w:abstractNum w:abstractNumId="9" w15:restartNumberingAfterBreak="0">
    <w:nsid w:val="4C2B5D22"/>
    <w:multiLevelType w:val="hybridMultilevel"/>
    <w:tmpl w:val="32880800"/>
    <w:lvl w:ilvl="0" w:tplc="0809000F">
      <w:start w:val="1"/>
      <w:numFmt w:val="decimal"/>
      <w:lvlText w:val="%1."/>
      <w:lvlJc w:val="left"/>
      <w:pPr>
        <w:tabs>
          <w:tab w:val="num" w:pos="720"/>
        </w:tabs>
        <w:ind w:left="720" w:hanging="360"/>
      </w:pPr>
      <w:rPr>
        <w:rFonts w:hint="default"/>
      </w:rPr>
    </w:lvl>
    <w:lvl w:ilvl="1" w:tplc="948A0348" w:tentative="1">
      <w:start w:val="1"/>
      <w:numFmt w:val="bullet"/>
      <w:lvlText w:val=""/>
      <w:lvlJc w:val="left"/>
      <w:pPr>
        <w:tabs>
          <w:tab w:val="num" w:pos="1440"/>
        </w:tabs>
        <w:ind w:left="1440" w:hanging="360"/>
      </w:pPr>
      <w:rPr>
        <w:rFonts w:ascii="Wingdings" w:hAnsi="Wingdings" w:hint="default"/>
      </w:rPr>
    </w:lvl>
    <w:lvl w:ilvl="2" w:tplc="355A1548" w:tentative="1">
      <w:start w:val="1"/>
      <w:numFmt w:val="bullet"/>
      <w:lvlText w:val=""/>
      <w:lvlJc w:val="left"/>
      <w:pPr>
        <w:tabs>
          <w:tab w:val="num" w:pos="2160"/>
        </w:tabs>
        <w:ind w:left="2160" w:hanging="360"/>
      </w:pPr>
      <w:rPr>
        <w:rFonts w:ascii="Wingdings" w:hAnsi="Wingdings" w:hint="default"/>
      </w:rPr>
    </w:lvl>
    <w:lvl w:ilvl="3" w:tplc="B0A63BC4" w:tentative="1">
      <w:start w:val="1"/>
      <w:numFmt w:val="bullet"/>
      <w:lvlText w:val=""/>
      <w:lvlJc w:val="left"/>
      <w:pPr>
        <w:tabs>
          <w:tab w:val="num" w:pos="2880"/>
        </w:tabs>
        <w:ind w:left="2880" w:hanging="360"/>
      </w:pPr>
      <w:rPr>
        <w:rFonts w:ascii="Wingdings" w:hAnsi="Wingdings" w:hint="default"/>
      </w:rPr>
    </w:lvl>
    <w:lvl w:ilvl="4" w:tplc="5BB237B2" w:tentative="1">
      <w:start w:val="1"/>
      <w:numFmt w:val="bullet"/>
      <w:lvlText w:val=""/>
      <w:lvlJc w:val="left"/>
      <w:pPr>
        <w:tabs>
          <w:tab w:val="num" w:pos="3600"/>
        </w:tabs>
        <w:ind w:left="3600" w:hanging="360"/>
      </w:pPr>
      <w:rPr>
        <w:rFonts w:ascii="Wingdings" w:hAnsi="Wingdings" w:hint="default"/>
      </w:rPr>
    </w:lvl>
    <w:lvl w:ilvl="5" w:tplc="1204972E" w:tentative="1">
      <w:start w:val="1"/>
      <w:numFmt w:val="bullet"/>
      <w:lvlText w:val=""/>
      <w:lvlJc w:val="left"/>
      <w:pPr>
        <w:tabs>
          <w:tab w:val="num" w:pos="4320"/>
        </w:tabs>
        <w:ind w:left="4320" w:hanging="360"/>
      </w:pPr>
      <w:rPr>
        <w:rFonts w:ascii="Wingdings" w:hAnsi="Wingdings" w:hint="default"/>
      </w:rPr>
    </w:lvl>
    <w:lvl w:ilvl="6" w:tplc="4DA4E7F6" w:tentative="1">
      <w:start w:val="1"/>
      <w:numFmt w:val="bullet"/>
      <w:lvlText w:val=""/>
      <w:lvlJc w:val="left"/>
      <w:pPr>
        <w:tabs>
          <w:tab w:val="num" w:pos="5040"/>
        </w:tabs>
        <w:ind w:left="5040" w:hanging="360"/>
      </w:pPr>
      <w:rPr>
        <w:rFonts w:ascii="Wingdings" w:hAnsi="Wingdings" w:hint="default"/>
      </w:rPr>
    </w:lvl>
    <w:lvl w:ilvl="7" w:tplc="5F1C4A56" w:tentative="1">
      <w:start w:val="1"/>
      <w:numFmt w:val="bullet"/>
      <w:lvlText w:val=""/>
      <w:lvlJc w:val="left"/>
      <w:pPr>
        <w:tabs>
          <w:tab w:val="num" w:pos="5760"/>
        </w:tabs>
        <w:ind w:left="5760" w:hanging="360"/>
      </w:pPr>
      <w:rPr>
        <w:rFonts w:ascii="Wingdings" w:hAnsi="Wingdings" w:hint="default"/>
      </w:rPr>
    </w:lvl>
    <w:lvl w:ilvl="8" w:tplc="37BEC4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B1016"/>
    <w:multiLevelType w:val="hybridMultilevel"/>
    <w:tmpl w:val="F280B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FE4DC3"/>
    <w:multiLevelType w:val="hybridMultilevel"/>
    <w:tmpl w:val="DAF43EDE"/>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CB4577"/>
    <w:multiLevelType w:val="hybridMultilevel"/>
    <w:tmpl w:val="72E67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9B4D73"/>
    <w:multiLevelType w:val="hybridMultilevel"/>
    <w:tmpl w:val="12D24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77033"/>
    <w:multiLevelType w:val="hybridMultilevel"/>
    <w:tmpl w:val="311A1D7C"/>
    <w:lvl w:ilvl="0" w:tplc="CA7208C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F86AAF"/>
    <w:multiLevelType w:val="hybridMultilevel"/>
    <w:tmpl w:val="F8D475AC"/>
    <w:lvl w:ilvl="0" w:tplc="C01A2CE8">
      <w:start w:val="1"/>
      <w:numFmt w:val="decimal"/>
      <w:lvlText w:val="%1."/>
      <w:lvlJc w:val="left"/>
      <w:pPr>
        <w:tabs>
          <w:tab w:val="num" w:pos="720"/>
        </w:tabs>
        <w:ind w:left="720" w:hanging="360"/>
      </w:pPr>
    </w:lvl>
    <w:lvl w:ilvl="1" w:tplc="4F40DE34" w:tentative="1">
      <w:start w:val="1"/>
      <w:numFmt w:val="decimal"/>
      <w:lvlText w:val="%2."/>
      <w:lvlJc w:val="left"/>
      <w:pPr>
        <w:tabs>
          <w:tab w:val="num" w:pos="1440"/>
        </w:tabs>
        <w:ind w:left="1440" w:hanging="360"/>
      </w:pPr>
    </w:lvl>
    <w:lvl w:ilvl="2" w:tplc="1E46B9F6" w:tentative="1">
      <w:start w:val="1"/>
      <w:numFmt w:val="decimal"/>
      <w:lvlText w:val="%3."/>
      <w:lvlJc w:val="left"/>
      <w:pPr>
        <w:tabs>
          <w:tab w:val="num" w:pos="2160"/>
        </w:tabs>
        <w:ind w:left="2160" w:hanging="360"/>
      </w:pPr>
    </w:lvl>
    <w:lvl w:ilvl="3" w:tplc="B2E0C6D2" w:tentative="1">
      <w:start w:val="1"/>
      <w:numFmt w:val="decimal"/>
      <w:lvlText w:val="%4."/>
      <w:lvlJc w:val="left"/>
      <w:pPr>
        <w:tabs>
          <w:tab w:val="num" w:pos="2880"/>
        </w:tabs>
        <w:ind w:left="2880" w:hanging="360"/>
      </w:pPr>
    </w:lvl>
    <w:lvl w:ilvl="4" w:tplc="238AEBC2" w:tentative="1">
      <w:start w:val="1"/>
      <w:numFmt w:val="decimal"/>
      <w:lvlText w:val="%5."/>
      <w:lvlJc w:val="left"/>
      <w:pPr>
        <w:tabs>
          <w:tab w:val="num" w:pos="3600"/>
        </w:tabs>
        <w:ind w:left="3600" w:hanging="360"/>
      </w:pPr>
    </w:lvl>
    <w:lvl w:ilvl="5" w:tplc="28B893FE" w:tentative="1">
      <w:start w:val="1"/>
      <w:numFmt w:val="decimal"/>
      <w:lvlText w:val="%6."/>
      <w:lvlJc w:val="left"/>
      <w:pPr>
        <w:tabs>
          <w:tab w:val="num" w:pos="4320"/>
        </w:tabs>
        <w:ind w:left="4320" w:hanging="360"/>
      </w:pPr>
    </w:lvl>
    <w:lvl w:ilvl="6" w:tplc="FC32CE06" w:tentative="1">
      <w:start w:val="1"/>
      <w:numFmt w:val="decimal"/>
      <w:lvlText w:val="%7."/>
      <w:lvlJc w:val="left"/>
      <w:pPr>
        <w:tabs>
          <w:tab w:val="num" w:pos="5040"/>
        </w:tabs>
        <w:ind w:left="5040" w:hanging="360"/>
      </w:pPr>
    </w:lvl>
    <w:lvl w:ilvl="7" w:tplc="3DA0A4A6" w:tentative="1">
      <w:start w:val="1"/>
      <w:numFmt w:val="decimal"/>
      <w:lvlText w:val="%8."/>
      <w:lvlJc w:val="left"/>
      <w:pPr>
        <w:tabs>
          <w:tab w:val="num" w:pos="5760"/>
        </w:tabs>
        <w:ind w:left="5760" w:hanging="360"/>
      </w:pPr>
    </w:lvl>
    <w:lvl w:ilvl="8" w:tplc="03F63AEC" w:tentative="1">
      <w:start w:val="1"/>
      <w:numFmt w:val="decimal"/>
      <w:lvlText w:val="%9."/>
      <w:lvlJc w:val="left"/>
      <w:pPr>
        <w:tabs>
          <w:tab w:val="num" w:pos="6480"/>
        </w:tabs>
        <w:ind w:left="6480" w:hanging="360"/>
      </w:pPr>
    </w:lvl>
  </w:abstractNum>
  <w:num w:numId="1" w16cid:durableId="245500010">
    <w:abstractNumId w:val="13"/>
  </w:num>
  <w:num w:numId="2" w16cid:durableId="1489320023">
    <w:abstractNumId w:val="11"/>
  </w:num>
  <w:num w:numId="3" w16cid:durableId="613942540">
    <w:abstractNumId w:val="2"/>
  </w:num>
  <w:num w:numId="4" w16cid:durableId="82342080">
    <w:abstractNumId w:val="12"/>
  </w:num>
  <w:num w:numId="5" w16cid:durableId="638267986">
    <w:abstractNumId w:val="4"/>
  </w:num>
  <w:num w:numId="6" w16cid:durableId="370619812">
    <w:abstractNumId w:val="9"/>
  </w:num>
  <w:num w:numId="7" w16cid:durableId="874656678">
    <w:abstractNumId w:val="15"/>
  </w:num>
  <w:num w:numId="8" w16cid:durableId="776870040">
    <w:abstractNumId w:val="8"/>
  </w:num>
  <w:num w:numId="9" w16cid:durableId="243614091">
    <w:abstractNumId w:val="6"/>
  </w:num>
  <w:num w:numId="10" w16cid:durableId="1261371911">
    <w:abstractNumId w:val="10"/>
  </w:num>
  <w:num w:numId="11" w16cid:durableId="959066824">
    <w:abstractNumId w:val="3"/>
  </w:num>
  <w:num w:numId="12" w16cid:durableId="1980575881">
    <w:abstractNumId w:val="0"/>
  </w:num>
  <w:num w:numId="13" w16cid:durableId="1971475457">
    <w:abstractNumId w:val="14"/>
  </w:num>
  <w:num w:numId="14" w16cid:durableId="956182069">
    <w:abstractNumId w:val="7"/>
  </w:num>
  <w:num w:numId="15" w16cid:durableId="1535313501">
    <w:abstractNumId w:val="5"/>
  </w:num>
  <w:num w:numId="16" w16cid:durableId="210071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AE"/>
    <w:rsid w:val="00002B27"/>
    <w:rsid w:val="00050F6A"/>
    <w:rsid w:val="00062C2C"/>
    <w:rsid w:val="00090D2E"/>
    <w:rsid w:val="000D7DBB"/>
    <w:rsid w:val="000E0FC2"/>
    <w:rsid w:val="000F5F8C"/>
    <w:rsid w:val="00114B22"/>
    <w:rsid w:val="0015479E"/>
    <w:rsid w:val="001548EE"/>
    <w:rsid w:val="001607B3"/>
    <w:rsid w:val="0016446E"/>
    <w:rsid w:val="001654DE"/>
    <w:rsid w:val="001738EB"/>
    <w:rsid w:val="00182339"/>
    <w:rsid w:val="00182FDA"/>
    <w:rsid w:val="0019774F"/>
    <w:rsid w:val="001A03F7"/>
    <w:rsid w:val="001A54FB"/>
    <w:rsid w:val="001A5AB2"/>
    <w:rsid w:val="001B56AB"/>
    <w:rsid w:val="001C0C58"/>
    <w:rsid w:val="001C2C07"/>
    <w:rsid w:val="001E5684"/>
    <w:rsid w:val="001F6692"/>
    <w:rsid w:val="001F75CB"/>
    <w:rsid w:val="00207A8E"/>
    <w:rsid w:val="0023319E"/>
    <w:rsid w:val="00233CB4"/>
    <w:rsid w:val="00243CD0"/>
    <w:rsid w:val="00253AAF"/>
    <w:rsid w:val="002576AB"/>
    <w:rsid w:val="00277D52"/>
    <w:rsid w:val="00295AA2"/>
    <w:rsid w:val="002C66E4"/>
    <w:rsid w:val="002D3D16"/>
    <w:rsid w:val="00307B7A"/>
    <w:rsid w:val="0031586E"/>
    <w:rsid w:val="0032620B"/>
    <w:rsid w:val="0032799E"/>
    <w:rsid w:val="003411C5"/>
    <w:rsid w:val="003841A9"/>
    <w:rsid w:val="003922F4"/>
    <w:rsid w:val="003A2459"/>
    <w:rsid w:val="003B45BD"/>
    <w:rsid w:val="003B7BC3"/>
    <w:rsid w:val="003C46E0"/>
    <w:rsid w:val="003C5F29"/>
    <w:rsid w:val="003C7768"/>
    <w:rsid w:val="003C7A15"/>
    <w:rsid w:val="003E680E"/>
    <w:rsid w:val="003F344A"/>
    <w:rsid w:val="00402392"/>
    <w:rsid w:val="004051C3"/>
    <w:rsid w:val="00421C02"/>
    <w:rsid w:val="0042728E"/>
    <w:rsid w:val="004A2AB6"/>
    <w:rsid w:val="004B212E"/>
    <w:rsid w:val="004C1B4A"/>
    <w:rsid w:val="004C7455"/>
    <w:rsid w:val="004D2292"/>
    <w:rsid w:val="004D5E1C"/>
    <w:rsid w:val="00521CED"/>
    <w:rsid w:val="00536478"/>
    <w:rsid w:val="00547F20"/>
    <w:rsid w:val="00571359"/>
    <w:rsid w:val="00592DD0"/>
    <w:rsid w:val="005A2EF3"/>
    <w:rsid w:val="005B702D"/>
    <w:rsid w:val="005C3024"/>
    <w:rsid w:val="00643F2A"/>
    <w:rsid w:val="006440C3"/>
    <w:rsid w:val="00654301"/>
    <w:rsid w:val="00667947"/>
    <w:rsid w:val="0068207B"/>
    <w:rsid w:val="006C713B"/>
    <w:rsid w:val="006C7970"/>
    <w:rsid w:val="006D03C0"/>
    <w:rsid w:val="006E50BF"/>
    <w:rsid w:val="006F1423"/>
    <w:rsid w:val="0070114B"/>
    <w:rsid w:val="00701FBF"/>
    <w:rsid w:val="00711018"/>
    <w:rsid w:val="00720D62"/>
    <w:rsid w:val="00731B67"/>
    <w:rsid w:val="00737725"/>
    <w:rsid w:val="007442C9"/>
    <w:rsid w:val="00744C2C"/>
    <w:rsid w:val="007466FB"/>
    <w:rsid w:val="00760F5E"/>
    <w:rsid w:val="007615E2"/>
    <w:rsid w:val="00771B80"/>
    <w:rsid w:val="00783714"/>
    <w:rsid w:val="007A5A79"/>
    <w:rsid w:val="007C31FE"/>
    <w:rsid w:val="007C4B26"/>
    <w:rsid w:val="007D29DE"/>
    <w:rsid w:val="007F1B5E"/>
    <w:rsid w:val="00814DE8"/>
    <w:rsid w:val="00834FAE"/>
    <w:rsid w:val="00845DCA"/>
    <w:rsid w:val="00890F9B"/>
    <w:rsid w:val="008A5952"/>
    <w:rsid w:val="008B0ECB"/>
    <w:rsid w:val="008C1215"/>
    <w:rsid w:val="008F1A35"/>
    <w:rsid w:val="00910DC4"/>
    <w:rsid w:val="009127A0"/>
    <w:rsid w:val="0092500D"/>
    <w:rsid w:val="00933753"/>
    <w:rsid w:val="00933D1B"/>
    <w:rsid w:val="00950068"/>
    <w:rsid w:val="009B34E2"/>
    <w:rsid w:val="009E3702"/>
    <w:rsid w:val="00A21B90"/>
    <w:rsid w:val="00A23968"/>
    <w:rsid w:val="00A41FFE"/>
    <w:rsid w:val="00A5580E"/>
    <w:rsid w:val="00A663E0"/>
    <w:rsid w:val="00A71CFA"/>
    <w:rsid w:val="00A77430"/>
    <w:rsid w:val="00A93B16"/>
    <w:rsid w:val="00AA7B6D"/>
    <w:rsid w:val="00AD54C8"/>
    <w:rsid w:val="00AE3F0C"/>
    <w:rsid w:val="00AF4BD7"/>
    <w:rsid w:val="00B04539"/>
    <w:rsid w:val="00B1258F"/>
    <w:rsid w:val="00B238F2"/>
    <w:rsid w:val="00B636F2"/>
    <w:rsid w:val="00B81B55"/>
    <w:rsid w:val="00B87F6A"/>
    <w:rsid w:val="00B911E0"/>
    <w:rsid w:val="00B952C6"/>
    <w:rsid w:val="00BE33A9"/>
    <w:rsid w:val="00BE6381"/>
    <w:rsid w:val="00BF2F81"/>
    <w:rsid w:val="00BF4586"/>
    <w:rsid w:val="00C04B10"/>
    <w:rsid w:val="00C128BF"/>
    <w:rsid w:val="00C258C5"/>
    <w:rsid w:val="00C25EE9"/>
    <w:rsid w:val="00C33A7F"/>
    <w:rsid w:val="00C530BE"/>
    <w:rsid w:val="00C62E06"/>
    <w:rsid w:val="00C666AE"/>
    <w:rsid w:val="00C67901"/>
    <w:rsid w:val="00C757A4"/>
    <w:rsid w:val="00CA39E8"/>
    <w:rsid w:val="00CB2C96"/>
    <w:rsid w:val="00CB7971"/>
    <w:rsid w:val="00CC49DB"/>
    <w:rsid w:val="00CE1F11"/>
    <w:rsid w:val="00D0374C"/>
    <w:rsid w:val="00D04975"/>
    <w:rsid w:val="00D0522F"/>
    <w:rsid w:val="00D22437"/>
    <w:rsid w:val="00D673B6"/>
    <w:rsid w:val="00D71396"/>
    <w:rsid w:val="00D87CDD"/>
    <w:rsid w:val="00DA2040"/>
    <w:rsid w:val="00DD7E26"/>
    <w:rsid w:val="00DE406E"/>
    <w:rsid w:val="00DE6D03"/>
    <w:rsid w:val="00E27C15"/>
    <w:rsid w:val="00E368DE"/>
    <w:rsid w:val="00E44D09"/>
    <w:rsid w:val="00E5048B"/>
    <w:rsid w:val="00E62453"/>
    <w:rsid w:val="00E73F79"/>
    <w:rsid w:val="00EA2D58"/>
    <w:rsid w:val="00ED4241"/>
    <w:rsid w:val="00ED7665"/>
    <w:rsid w:val="00F370BA"/>
    <w:rsid w:val="00F5526C"/>
    <w:rsid w:val="00F73B6C"/>
    <w:rsid w:val="00F834D6"/>
    <w:rsid w:val="00F95DA0"/>
    <w:rsid w:val="00F96AB3"/>
    <w:rsid w:val="00FA3C9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582BB"/>
  <w15:docId w15:val="{C3D52D34-4FE4-423E-A759-69667B12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6AE"/>
    <w:pPr>
      <w:ind w:left="720"/>
      <w:contextualSpacing/>
    </w:pPr>
  </w:style>
  <w:style w:type="character" w:styleId="Strong">
    <w:name w:val="Strong"/>
    <w:basedOn w:val="DefaultParagraphFont"/>
    <w:uiPriority w:val="22"/>
    <w:qFormat/>
    <w:rsid w:val="00C25EE9"/>
    <w:rPr>
      <w:b/>
      <w:bCs/>
    </w:rPr>
  </w:style>
  <w:style w:type="paragraph" w:styleId="NormalWeb">
    <w:name w:val="Normal (Web)"/>
    <w:basedOn w:val="Normal"/>
    <w:uiPriority w:val="99"/>
    <w:unhideWhenUsed/>
    <w:rsid w:val="00C25EE9"/>
    <w:pPr>
      <w:spacing w:after="240"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C25EE9"/>
  </w:style>
  <w:style w:type="character" w:styleId="Hyperlink">
    <w:name w:val="Hyperlink"/>
    <w:basedOn w:val="DefaultParagraphFont"/>
    <w:uiPriority w:val="99"/>
    <w:unhideWhenUsed/>
    <w:rsid w:val="001607B3"/>
    <w:rPr>
      <w:color w:val="0000FF" w:themeColor="hyperlink"/>
      <w:u w:val="single"/>
    </w:rPr>
  </w:style>
  <w:style w:type="paragraph" w:styleId="Header">
    <w:name w:val="header"/>
    <w:basedOn w:val="Normal"/>
    <w:link w:val="HeaderChar"/>
    <w:uiPriority w:val="99"/>
    <w:unhideWhenUsed/>
    <w:rsid w:val="001F7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5CB"/>
  </w:style>
  <w:style w:type="paragraph" w:styleId="Footer">
    <w:name w:val="footer"/>
    <w:basedOn w:val="Normal"/>
    <w:link w:val="FooterChar"/>
    <w:uiPriority w:val="99"/>
    <w:unhideWhenUsed/>
    <w:rsid w:val="001F7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5CB"/>
  </w:style>
  <w:style w:type="paragraph" w:customStyle="1" w:styleId="Default">
    <w:name w:val="Default"/>
    <w:rsid w:val="001F75CB"/>
    <w:pPr>
      <w:autoSpaceDE w:val="0"/>
      <w:autoSpaceDN w:val="0"/>
      <w:adjustRightInd w:val="0"/>
      <w:spacing w:after="0" w:line="240" w:lineRule="auto"/>
    </w:pPr>
    <w:rPr>
      <w:rFonts w:ascii="EUAlbertina" w:hAnsi="EUAlbertina" w:cs="EUAlbertina"/>
      <w:color w:val="000000"/>
      <w:sz w:val="24"/>
      <w:szCs w:val="24"/>
    </w:rPr>
  </w:style>
  <w:style w:type="paragraph" w:styleId="BalloonText">
    <w:name w:val="Balloon Text"/>
    <w:basedOn w:val="Normal"/>
    <w:link w:val="BalloonTextChar"/>
    <w:uiPriority w:val="99"/>
    <w:semiHidden/>
    <w:unhideWhenUsed/>
    <w:rsid w:val="004D5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E1C"/>
    <w:rPr>
      <w:rFonts w:ascii="Tahoma" w:hAnsi="Tahoma" w:cs="Tahoma"/>
      <w:sz w:val="16"/>
      <w:szCs w:val="16"/>
    </w:rPr>
  </w:style>
  <w:style w:type="character" w:styleId="PageNumber">
    <w:name w:val="page number"/>
    <w:basedOn w:val="DefaultParagraphFont"/>
    <w:uiPriority w:val="99"/>
    <w:semiHidden/>
    <w:unhideWhenUsed/>
    <w:rsid w:val="00114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843182">
      <w:bodyDiv w:val="1"/>
      <w:marLeft w:val="0"/>
      <w:marRight w:val="0"/>
      <w:marTop w:val="0"/>
      <w:marBottom w:val="0"/>
      <w:divBdr>
        <w:top w:val="none" w:sz="0" w:space="0" w:color="auto"/>
        <w:left w:val="none" w:sz="0" w:space="0" w:color="auto"/>
        <w:bottom w:val="none" w:sz="0" w:space="0" w:color="auto"/>
        <w:right w:val="none" w:sz="0" w:space="0" w:color="auto"/>
      </w:divBdr>
      <w:divsChild>
        <w:div w:id="525486877">
          <w:marLeft w:val="0"/>
          <w:marRight w:val="0"/>
          <w:marTop w:val="0"/>
          <w:marBottom w:val="0"/>
          <w:divBdr>
            <w:top w:val="none" w:sz="0" w:space="0" w:color="auto"/>
            <w:left w:val="none" w:sz="0" w:space="0" w:color="auto"/>
            <w:bottom w:val="none" w:sz="0" w:space="0" w:color="auto"/>
            <w:right w:val="none" w:sz="0" w:space="0" w:color="auto"/>
          </w:divBdr>
          <w:divsChild>
            <w:div w:id="463349266">
              <w:marLeft w:val="0"/>
              <w:marRight w:val="0"/>
              <w:marTop w:val="0"/>
              <w:marBottom w:val="0"/>
              <w:divBdr>
                <w:top w:val="none" w:sz="0" w:space="0" w:color="auto"/>
                <w:left w:val="none" w:sz="0" w:space="0" w:color="auto"/>
                <w:bottom w:val="none" w:sz="0" w:space="0" w:color="auto"/>
                <w:right w:val="none" w:sz="0" w:space="0" w:color="auto"/>
              </w:divBdr>
              <w:divsChild>
                <w:div w:id="12804520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7128200">
      <w:bodyDiv w:val="1"/>
      <w:marLeft w:val="0"/>
      <w:marRight w:val="0"/>
      <w:marTop w:val="0"/>
      <w:marBottom w:val="0"/>
      <w:divBdr>
        <w:top w:val="none" w:sz="0" w:space="0" w:color="auto"/>
        <w:left w:val="none" w:sz="0" w:space="0" w:color="auto"/>
        <w:bottom w:val="none" w:sz="0" w:space="0" w:color="auto"/>
        <w:right w:val="none" w:sz="0" w:space="0" w:color="auto"/>
      </w:divBdr>
      <w:divsChild>
        <w:div w:id="290940157">
          <w:marLeft w:val="0"/>
          <w:marRight w:val="0"/>
          <w:marTop w:val="0"/>
          <w:marBottom w:val="0"/>
          <w:divBdr>
            <w:top w:val="none" w:sz="0" w:space="0" w:color="auto"/>
            <w:left w:val="none" w:sz="0" w:space="0" w:color="auto"/>
            <w:bottom w:val="none" w:sz="0" w:space="0" w:color="auto"/>
            <w:right w:val="none" w:sz="0" w:space="0" w:color="auto"/>
          </w:divBdr>
          <w:divsChild>
            <w:div w:id="1027294627">
              <w:marLeft w:val="0"/>
              <w:marRight w:val="0"/>
              <w:marTop w:val="0"/>
              <w:marBottom w:val="0"/>
              <w:divBdr>
                <w:top w:val="none" w:sz="0" w:space="0" w:color="auto"/>
                <w:left w:val="none" w:sz="0" w:space="0" w:color="auto"/>
                <w:bottom w:val="none" w:sz="0" w:space="0" w:color="auto"/>
                <w:right w:val="none" w:sz="0" w:space="0" w:color="auto"/>
              </w:divBdr>
              <w:divsChild>
                <w:div w:id="11127431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MESSING, Liza (BARNET, ENFIELD AND HARINGEY MENTAL HEALTH NHS TRUST)</cp:lastModifiedBy>
  <cp:revision>3</cp:revision>
  <cp:lastPrinted>2018-04-11T09:25:00Z</cp:lastPrinted>
  <dcterms:created xsi:type="dcterms:W3CDTF">2022-10-11T14:16:00Z</dcterms:created>
  <dcterms:modified xsi:type="dcterms:W3CDTF">2023-08-08T09:43:00Z</dcterms:modified>
</cp:coreProperties>
</file>